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F0679" w14:textId="1BA8C6BD" w:rsidR="00BA3FB2" w:rsidRDefault="00BA3FB2" w:rsidP="009078B8">
      <w:r w:rsidRPr="00BA3FB2">
        <w:rPr>
          <w:b/>
          <w:bCs/>
        </w:rPr>
        <w:t>PROPOSAL TITLE:</w:t>
      </w:r>
      <w:r>
        <w:t xml:space="preserve"> Express Care – Using Patient-initiated </w:t>
      </w:r>
      <w:r w:rsidR="0002569A">
        <w:t xml:space="preserve">On-Demand </w:t>
      </w:r>
      <w:r>
        <w:t>Care to Improve Patient Access and Satisfaction in Primary Care</w:t>
      </w:r>
    </w:p>
    <w:p w14:paraId="016841C7" w14:textId="4F6807CC" w:rsidR="00BA3FB2" w:rsidRDefault="00BA3FB2" w:rsidP="009078B8">
      <w:r w:rsidRPr="00BA3FB2">
        <w:rPr>
          <w:b/>
          <w:bCs/>
        </w:rPr>
        <w:t>PROJECT LEAD(S):</w:t>
      </w:r>
      <w:r>
        <w:t xml:space="preserve"> Adrian Tomes, </w:t>
      </w:r>
      <w:proofErr w:type="gramStart"/>
      <w:r>
        <w:t>MD</w:t>
      </w:r>
      <w:proofErr w:type="gramEnd"/>
      <w:r>
        <w:t xml:space="preserve"> and Nina Soares</w:t>
      </w:r>
    </w:p>
    <w:p w14:paraId="050F2494" w14:textId="77777777" w:rsidR="006C54C2" w:rsidRDefault="00BA3FB2" w:rsidP="009078B8">
      <w:pPr>
        <w:rPr>
          <w:b/>
          <w:bCs/>
        </w:rPr>
      </w:pPr>
      <w:r w:rsidRPr="315D6E24">
        <w:rPr>
          <w:b/>
          <w:bCs/>
        </w:rPr>
        <w:t>EXECUTIVE SPONSOR(S):</w:t>
      </w:r>
    </w:p>
    <w:p w14:paraId="3AF519B1" w14:textId="05CA1CCD" w:rsidR="006C54C2" w:rsidRDefault="00BA3FB2" w:rsidP="006C54C2">
      <w:pPr>
        <w:pStyle w:val="ListParagraph"/>
        <w:numPr>
          <w:ilvl w:val="0"/>
          <w:numId w:val="9"/>
        </w:numPr>
      </w:pPr>
      <w:r>
        <w:t xml:space="preserve">Inga </w:t>
      </w:r>
      <w:proofErr w:type="spellStart"/>
      <w:r>
        <w:t>Lennes</w:t>
      </w:r>
      <w:proofErr w:type="spellEnd"/>
      <w:r>
        <w:t>, MD, MPH, MBA</w:t>
      </w:r>
      <w:r w:rsidR="00AF228E">
        <w:t xml:space="preserve"> – </w:t>
      </w:r>
      <w:r>
        <w:t>FPO President</w:t>
      </w:r>
    </w:p>
    <w:p w14:paraId="03D2DE73" w14:textId="07DD863C" w:rsidR="00BA3FB2" w:rsidRDefault="00BA3FB2" w:rsidP="006C54C2">
      <w:pPr>
        <w:pStyle w:val="ListParagraph"/>
        <w:numPr>
          <w:ilvl w:val="0"/>
          <w:numId w:val="9"/>
        </w:numPr>
      </w:pPr>
      <w:r>
        <w:t>David Morgan</w:t>
      </w:r>
      <w:r w:rsidR="00AF228E">
        <w:t xml:space="preserve"> – </w:t>
      </w:r>
      <w:r>
        <w:t>VP / COO UCSF Faculty Practices and Ambulatory Services</w:t>
      </w:r>
    </w:p>
    <w:p w14:paraId="55EFEA7A" w14:textId="20700603" w:rsidR="006C54C2" w:rsidRDefault="006C54C2" w:rsidP="006C54C2">
      <w:pPr>
        <w:pStyle w:val="ListParagraph"/>
        <w:numPr>
          <w:ilvl w:val="0"/>
          <w:numId w:val="9"/>
        </w:numPr>
      </w:pPr>
      <w:r>
        <w:t>Maria Byron, MD – Associate CMIO, Ambulatory Care</w:t>
      </w:r>
    </w:p>
    <w:p w14:paraId="65A4BA77" w14:textId="2A7E0DED" w:rsidR="00BA3FB2" w:rsidRDefault="00BA3FB2" w:rsidP="009078B8">
      <w:r w:rsidRPr="4E03744C">
        <w:rPr>
          <w:b/>
          <w:bCs/>
        </w:rPr>
        <w:t>ABSTRACT</w:t>
      </w:r>
      <w:r>
        <w:t xml:space="preserve"> </w:t>
      </w:r>
      <w:r w:rsidR="00DB768E">
        <w:t>–</w:t>
      </w:r>
      <w:r w:rsidR="5DE851A3">
        <w:t xml:space="preserve"> </w:t>
      </w:r>
      <w:r>
        <w:t>In October 2023, UCSF Primary Care at Laurel Village launched Express Care, a pioneering initiative designed to transform the accessibility of care for patients with urgent, low-acuity issues. By enabling on-demand video visits with nurse practitioners, this service aims to significantly enhance patient access, minimize the reliance on non-urgent messages, optimize advanced practice provider (APP) utilization, and improve overall patient satisfaction. The pilot specifically targeted conditions suited for virtual care, ensuring efficient patient management without compromising care continuity.</w:t>
      </w:r>
    </w:p>
    <w:p w14:paraId="7B9249AF" w14:textId="14D130D8" w:rsidR="00BA3FB2" w:rsidRDefault="00BA3FB2" w:rsidP="009078B8">
      <w:r>
        <w:t xml:space="preserve">The initial outcomes of Express Care have been promising, demonstrating a tangible reduction in message frequency from patients—from 1.15 to 0.97 messages per appointment—indicating more direct and efficient patient care pathways. Furthermore, patient satisfaction metrics have soared, with Express Care visits receiving higher satisfaction scores across multiple </w:t>
      </w:r>
      <w:proofErr w:type="gramStart"/>
      <w:r>
        <w:t xml:space="preserve">dimensions, </w:t>
      </w:r>
      <w:r w:rsidR="005E1B1D">
        <w:t>and</w:t>
      </w:r>
      <w:proofErr w:type="gramEnd"/>
      <w:r>
        <w:t xml:space="preserve"> surpassing traditional in-person visit benchmarks.</w:t>
      </w:r>
    </w:p>
    <w:p w14:paraId="39481C10" w14:textId="5A562FC2" w:rsidR="0095225C" w:rsidRPr="00E45A4F" w:rsidRDefault="00BA3FB2" w:rsidP="009078B8">
      <w:r>
        <w:t xml:space="preserve">As UCSF prepares to extend Express Care across all its primary care clinics, a concerted effort is underway to refine </w:t>
      </w:r>
      <w:proofErr w:type="spellStart"/>
      <w:r>
        <w:t>APeX</w:t>
      </w:r>
      <w:proofErr w:type="spellEnd"/>
      <w:r>
        <w:t xml:space="preserve">/MyChart technical infrastructure, alongside the creation of patient-centric tools designed to facilitate easy access and utilization of the service. </w:t>
      </w:r>
      <w:r w:rsidR="00AB5757">
        <w:t>T</w:t>
      </w:r>
      <w:r>
        <w:t>he development of comprehensive data dashboards is anticipated to enable deeper insights into the program's effectiveness, guiding continuous improvement. This expansion and refinement effort represent a critical phase in fully realizing the potential of Express Care, aiming to establish a new standard in accessible, efficient, and patient-centered healthcare delivery</w:t>
      </w:r>
      <w:r w:rsidR="00E45A4F">
        <w:t>.</w:t>
      </w:r>
    </w:p>
    <w:p w14:paraId="45C37F82" w14:textId="2220B89C" w:rsidR="00BA3FB2" w:rsidRDefault="00BA3FB2" w:rsidP="009078B8">
      <w:r w:rsidRPr="4E03744C">
        <w:rPr>
          <w:b/>
          <w:bCs/>
        </w:rPr>
        <w:t>TEAM</w:t>
      </w:r>
      <w:r>
        <w:t xml:space="preserve"> - </w:t>
      </w:r>
    </w:p>
    <w:p w14:paraId="7ABE783B" w14:textId="6A12A3E1" w:rsidR="00BA3FB2" w:rsidRDefault="00BA3FB2" w:rsidP="006C54C2">
      <w:pPr>
        <w:pStyle w:val="ListParagraph"/>
        <w:numPr>
          <w:ilvl w:val="0"/>
          <w:numId w:val="8"/>
        </w:numPr>
      </w:pPr>
      <w:r>
        <w:t>Adrian Tomes – PGY5 Clinical Informatics Fellow, Family Medicine Staff physician, Project lead</w:t>
      </w:r>
    </w:p>
    <w:p w14:paraId="436673DA" w14:textId="401AFDB2" w:rsidR="00BA3FB2" w:rsidRDefault="00BA3FB2" w:rsidP="006C54C2">
      <w:pPr>
        <w:pStyle w:val="ListParagraph"/>
        <w:numPr>
          <w:ilvl w:val="0"/>
          <w:numId w:val="8"/>
        </w:numPr>
      </w:pPr>
      <w:r>
        <w:t>Nina Soares – Administrative Director, Lakeshore Family Medicine/ Primary Care Laurel Village</w:t>
      </w:r>
    </w:p>
    <w:p w14:paraId="0103C931" w14:textId="4FFA913D" w:rsidR="00BA3FB2" w:rsidRDefault="00BA3FB2" w:rsidP="006C54C2">
      <w:pPr>
        <w:pStyle w:val="ListParagraph"/>
        <w:numPr>
          <w:ilvl w:val="0"/>
          <w:numId w:val="8"/>
        </w:numPr>
      </w:pPr>
      <w:r>
        <w:t xml:space="preserve">Chad Bingo – Lead </w:t>
      </w:r>
      <w:proofErr w:type="spellStart"/>
      <w:r>
        <w:t>ApEX</w:t>
      </w:r>
      <w:proofErr w:type="spellEnd"/>
      <w:r>
        <w:t>/Ambulatory analyst</w:t>
      </w:r>
    </w:p>
    <w:p w14:paraId="78BB6CD6" w14:textId="2CBF2ED0" w:rsidR="00BA3FB2" w:rsidRDefault="00BA3FB2" w:rsidP="006C54C2">
      <w:pPr>
        <w:pStyle w:val="ListParagraph"/>
        <w:numPr>
          <w:ilvl w:val="0"/>
          <w:numId w:val="8"/>
        </w:numPr>
      </w:pPr>
      <w:r>
        <w:t xml:space="preserve">Christina Morato – </w:t>
      </w:r>
      <w:r w:rsidR="00176008">
        <w:t>Senior A</w:t>
      </w:r>
      <w:r>
        <w:t>nalyst</w:t>
      </w:r>
      <w:r w:rsidR="00176008">
        <w:t xml:space="preserve"> Supervisor, Population Health</w:t>
      </w:r>
    </w:p>
    <w:p w14:paraId="185646A1" w14:textId="4BD06689" w:rsidR="00F95CE1" w:rsidRDefault="00F95CE1" w:rsidP="006C54C2">
      <w:pPr>
        <w:pStyle w:val="ListParagraph"/>
        <w:numPr>
          <w:ilvl w:val="0"/>
          <w:numId w:val="8"/>
        </w:numPr>
      </w:pPr>
      <w:r>
        <w:t>Kimberly Cheng – Analyst, Population Health</w:t>
      </w:r>
    </w:p>
    <w:p w14:paraId="494B375A" w14:textId="244D23AF" w:rsidR="00BA3FB2" w:rsidRDefault="00BA3FB2" w:rsidP="006C54C2">
      <w:pPr>
        <w:pStyle w:val="ListParagraph"/>
        <w:numPr>
          <w:ilvl w:val="0"/>
          <w:numId w:val="8"/>
        </w:numPr>
      </w:pPr>
      <w:r>
        <w:t>Ali Maiorano – Patient Experience lead</w:t>
      </w:r>
    </w:p>
    <w:p w14:paraId="6597659D" w14:textId="5254DB09" w:rsidR="00BA3FB2" w:rsidRDefault="00BA3FB2" w:rsidP="006C54C2">
      <w:pPr>
        <w:pStyle w:val="ListParagraph"/>
        <w:numPr>
          <w:ilvl w:val="0"/>
          <w:numId w:val="8"/>
        </w:numPr>
      </w:pPr>
      <w:r>
        <w:t>Christina Louie – Nurse Practitioner, Express Care Super User</w:t>
      </w:r>
    </w:p>
    <w:p w14:paraId="524E1397" w14:textId="171D2A7C" w:rsidR="00BA3FB2" w:rsidRDefault="00BA3FB2" w:rsidP="009078B8">
      <w:r w:rsidRPr="4E03744C">
        <w:rPr>
          <w:b/>
          <w:bCs/>
        </w:rPr>
        <w:t>PROBLEM</w:t>
      </w:r>
      <w:r>
        <w:t xml:space="preserve"> </w:t>
      </w:r>
      <w:r w:rsidR="00DB768E">
        <w:t>–</w:t>
      </w:r>
      <w:r>
        <w:t xml:space="preserve"> Primary care patients have four options for seeking care for urgent, acute appointments: scheduling an appointment, sending a message to their PCP, speaking with care team member to be triaged, or seeking care with an outside entity. The ability to schedule an appointment same day is highly variable across the clinics, ranging from same day to several weeks</w:t>
      </w:r>
      <w:r w:rsidR="53839DA9">
        <w:t xml:space="preserve"> based on availability</w:t>
      </w:r>
      <w:r>
        <w:t xml:space="preserve"> (see </w:t>
      </w:r>
      <w:r w:rsidRPr="00515782">
        <w:t>Figure 1</w:t>
      </w:r>
      <w:r>
        <w:t xml:space="preserve">). </w:t>
      </w:r>
    </w:p>
    <w:p w14:paraId="4C20ABE5" w14:textId="74B94039" w:rsidR="00BA3FB2" w:rsidRDefault="00BA3FB2" w:rsidP="009078B8">
      <w:r>
        <w:t xml:space="preserve">Acute concerns that are sent via message require multiple staff to review the message, and result in delays of one to three days, and if billed, results a much lower </w:t>
      </w:r>
      <w:proofErr w:type="spellStart"/>
      <w:r>
        <w:t>eVisit</w:t>
      </w:r>
      <w:proofErr w:type="spellEnd"/>
      <w:r>
        <w:t xml:space="preserve"> reimbursement rate (see </w:t>
      </w:r>
      <w:r w:rsidRPr="00515782">
        <w:t>Table 1</w:t>
      </w:r>
      <w:r>
        <w:t xml:space="preserve">). Triage calls are often completed same day, but rarely billed, and if so, at a lower rate of reimbursement. For patients that require more urgent attention than can be satisfied, they are referred to external urgent cares and the primary care practice loses any opportunity to satisfy patient needs and capture revenue. Simultaneously, APP productivity across primary care, and the health </w:t>
      </w:r>
      <w:proofErr w:type="gramStart"/>
      <w:r>
        <w:t>system as a whole, is</w:t>
      </w:r>
      <w:proofErr w:type="gramEnd"/>
      <w:r>
        <w:t xml:space="preserve"> not sufficient – with less than 25% of APPs on track to meet productivity targets (2900 </w:t>
      </w:r>
      <w:proofErr w:type="spellStart"/>
      <w:r>
        <w:t>wRVUs</w:t>
      </w:r>
      <w:proofErr w:type="spellEnd"/>
      <w:r>
        <w:t>/1.0FTE).</w:t>
      </w:r>
    </w:p>
    <w:p w14:paraId="25E34F53" w14:textId="117E13CD" w:rsidR="00CD3BE9" w:rsidRDefault="00BA3FB2" w:rsidP="009078B8">
      <w:r>
        <w:t xml:space="preserve">Express Care is a module that became available in Epic in 2018 and has had some limited adoption at other large health systems. Express Care provides a fifth option for patients: to initiate a billable, on-demand visit with a provider, which in </w:t>
      </w:r>
      <w:r>
        <w:lastRenderedPageBreak/>
        <w:t xml:space="preserve">turn creates instantaneous access, increased APP utilization, and diverts potential </w:t>
      </w:r>
      <w:proofErr w:type="spellStart"/>
      <w:r>
        <w:t>inbasket</w:t>
      </w:r>
      <w:proofErr w:type="spellEnd"/>
      <w:r>
        <w:t xml:space="preserve"> messages and triage phone calls into revenue generating visits.</w:t>
      </w:r>
    </w:p>
    <w:p w14:paraId="312047B4" w14:textId="7BF13F05" w:rsidR="00BA3FB2" w:rsidRDefault="005B44E1" w:rsidP="009078B8">
      <w:r>
        <w:t xml:space="preserve">Express Care holds enormous potential, both within primary care </w:t>
      </w:r>
      <w:proofErr w:type="gramStart"/>
      <w:r>
        <w:t>and also</w:t>
      </w:r>
      <w:proofErr w:type="gramEnd"/>
      <w:r>
        <w:t xml:space="preserve"> in </w:t>
      </w:r>
      <w:r w:rsidR="00B11427">
        <w:t>specialty</w:t>
      </w:r>
      <w:r>
        <w:t xml:space="preserve"> services. However</w:t>
      </w:r>
      <w:r w:rsidR="005E05D3">
        <w:t xml:space="preserve">, scaling up utilization to a system-wide level requires addressing gaps for patients with Limited English Proficiency (LEP), and those that </w:t>
      </w:r>
      <w:r w:rsidR="00305554">
        <w:t>have upstream determinants of health for which this type of mode of care may be out of reach.</w:t>
      </w:r>
      <w:r w:rsidR="0070547E">
        <w:t xml:space="preserve"> Initial utilization data for Express Care during the pilot phase</w:t>
      </w:r>
      <w:r w:rsidR="00CD4E49">
        <w:t xml:space="preserve"> </w:t>
      </w:r>
      <w:r w:rsidR="00021117">
        <w:t>skewed heavily towards English-speakers</w:t>
      </w:r>
      <w:r w:rsidR="00E35962">
        <w:t xml:space="preserve"> (</w:t>
      </w:r>
      <w:r w:rsidR="00E35962" w:rsidRPr="00515782">
        <w:t>Figure 2</w:t>
      </w:r>
      <w:r w:rsidR="00E35962">
        <w:t>)</w:t>
      </w:r>
      <w:r w:rsidR="00021117">
        <w:t xml:space="preserve"> and </w:t>
      </w:r>
      <w:r w:rsidR="00392259">
        <w:t>patients that identify as White</w:t>
      </w:r>
      <w:r w:rsidR="00E35962">
        <w:t xml:space="preserve"> are overrepresented compared to all patients (</w:t>
      </w:r>
      <w:r w:rsidR="00E35962" w:rsidRPr="00515782">
        <w:t>Figure 3</w:t>
      </w:r>
      <w:r w:rsidR="00E35962">
        <w:t>).</w:t>
      </w:r>
      <w:r w:rsidR="004E5C00">
        <w:t xml:space="preserve"> </w:t>
      </w:r>
      <w:proofErr w:type="gramStart"/>
      <w:r w:rsidR="004E5C00">
        <w:t xml:space="preserve">In order </w:t>
      </w:r>
      <w:r w:rsidR="004936D8">
        <w:t>for</w:t>
      </w:r>
      <w:proofErr w:type="gramEnd"/>
      <w:r w:rsidR="004936D8">
        <w:t xml:space="preserve"> all patients to have the opportunity to utilize this service, it is essential that the infrastructure, resources, and tools are built now with an equity framework in mind</w:t>
      </w:r>
      <w:r w:rsidR="008D5297">
        <w:t>.</w:t>
      </w:r>
    </w:p>
    <w:p w14:paraId="439F406D" w14:textId="4E2C20FA" w:rsidR="00E532B0" w:rsidRDefault="00BA3FB2" w:rsidP="009078B8">
      <w:r w:rsidRPr="00391B6A">
        <w:rPr>
          <w:b/>
          <w:bCs/>
        </w:rPr>
        <w:t>TARGET</w:t>
      </w:r>
      <w:r>
        <w:t xml:space="preserve"> - </w:t>
      </w:r>
      <w:r w:rsidR="001D2326">
        <w:t xml:space="preserve">By June 2025, </w:t>
      </w:r>
      <w:r w:rsidR="002E1F3C">
        <w:t>expand Express Care to all primary care patients</w:t>
      </w:r>
      <w:r w:rsidR="002D520D">
        <w:t>, regardless of language preference,</w:t>
      </w:r>
      <w:r w:rsidR="002E1F3C">
        <w:t xml:space="preserve"> to improve patient access and satisfaction</w:t>
      </w:r>
      <w:r w:rsidR="001D2326">
        <w:t>, im</w:t>
      </w:r>
      <w:r w:rsidR="00F3080A">
        <w:t xml:space="preserve">prove APP utilization, and decrease </w:t>
      </w:r>
      <w:proofErr w:type="spellStart"/>
      <w:r w:rsidR="00F3080A">
        <w:t>inbasket</w:t>
      </w:r>
      <w:proofErr w:type="spellEnd"/>
      <w:r w:rsidR="00F3080A">
        <w:t xml:space="preserve"> workload</w:t>
      </w:r>
      <w:r w:rsidR="002203E5">
        <w:t xml:space="preserve">. This will be achieved through </w:t>
      </w:r>
      <w:r w:rsidR="007C4D3C">
        <w:t xml:space="preserve">improved </w:t>
      </w:r>
      <w:r w:rsidR="00B27FB8">
        <w:t xml:space="preserve">data analysis and </w:t>
      </w:r>
      <w:r w:rsidR="007C4D3C">
        <w:t xml:space="preserve">Epic infrastructure, </w:t>
      </w:r>
      <w:r w:rsidR="00E532B0">
        <w:t xml:space="preserve">and </w:t>
      </w:r>
      <w:r w:rsidR="007C4D3C">
        <w:t xml:space="preserve">patient centered resources that </w:t>
      </w:r>
      <w:r w:rsidR="00B27FB8">
        <w:t>are LEP friendly</w:t>
      </w:r>
      <w:r w:rsidR="00E532B0">
        <w:t>.</w:t>
      </w:r>
    </w:p>
    <w:p w14:paraId="0271B5CD" w14:textId="4044E2E8" w:rsidR="4E03744C" w:rsidRDefault="00E532B0" w:rsidP="009078B8">
      <w:r>
        <w:t xml:space="preserve">Expected benefits based off of pilot </w:t>
      </w:r>
      <w:r w:rsidR="00E16910">
        <w:t xml:space="preserve">outcomes </w:t>
      </w:r>
      <w:proofErr w:type="gramStart"/>
      <w:r w:rsidR="00E16910">
        <w:t>are:</w:t>
      </w:r>
      <w:proofErr w:type="gramEnd"/>
      <w:r w:rsidR="00E16910">
        <w:t xml:space="preserve"> improved patient experience, improved </w:t>
      </w:r>
      <w:r w:rsidR="002D520D">
        <w:t xml:space="preserve">revenue </w:t>
      </w:r>
      <w:r w:rsidR="00E16910">
        <w:t>capture of previously underbilled or non-billed medical care,</w:t>
      </w:r>
      <w:r w:rsidR="0001776C">
        <w:t xml:space="preserve"> and</w:t>
      </w:r>
      <w:r w:rsidR="00E16910">
        <w:t xml:space="preserve"> improvement in </w:t>
      </w:r>
      <w:proofErr w:type="spellStart"/>
      <w:r w:rsidR="00E16910">
        <w:t>inbasket</w:t>
      </w:r>
      <w:proofErr w:type="spellEnd"/>
      <w:r w:rsidR="00E16910">
        <w:t xml:space="preserve"> volume</w:t>
      </w:r>
      <w:r w:rsidR="0001776C">
        <w:t>.</w:t>
      </w:r>
    </w:p>
    <w:p w14:paraId="3BA1659D" w14:textId="037249BF" w:rsidR="007979FC" w:rsidRDefault="00BA3FB2" w:rsidP="009078B8">
      <w:r w:rsidRPr="4E03744C">
        <w:rPr>
          <w:b/>
          <w:bCs/>
        </w:rPr>
        <w:t>GAPS</w:t>
      </w:r>
      <w:r>
        <w:t xml:space="preserve"> - </w:t>
      </w:r>
      <w:r w:rsidR="00935F86">
        <w:t xml:space="preserve">Many of the barriers to full expansion of this service are related to </w:t>
      </w:r>
      <w:r w:rsidR="00141432">
        <w:t xml:space="preserve">a lack of infrastructure and Apex build. A fishbone exercise was used to identify </w:t>
      </w:r>
      <w:r w:rsidR="00421E7F">
        <w:t>gaps</w:t>
      </w:r>
      <w:r w:rsidR="0039633B">
        <w:t xml:space="preserve"> as seen in </w:t>
      </w:r>
      <w:r w:rsidR="00421E7F" w:rsidRPr="00515782">
        <w:t>Figure 4</w:t>
      </w:r>
      <w:r w:rsidR="00421E7F">
        <w:t>.</w:t>
      </w:r>
    </w:p>
    <w:p w14:paraId="1EE17CE3" w14:textId="6A480B4C" w:rsidR="00BA3FB2" w:rsidRDefault="00BA3FB2" w:rsidP="009078B8">
      <w:r w:rsidRPr="4E03744C">
        <w:rPr>
          <w:b/>
          <w:bCs/>
        </w:rPr>
        <w:t>INTERVENTION</w:t>
      </w:r>
      <w:r>
        <w:t xml:space="preserve"> </w:t>
      </w:r>
      <w:r w:rsidR="009078B8">
        <w:t>–</w:t>
      </w:r>
      <w:r>
        <w:t xml:space="preserve"> Our proposed intervention, Express Care, is a pilot program designed to enhance access to care for established UCSF primary care patients who have visited any UCSF primary care clinic within the past three years. This entirely virtual practice, facilitated through the Express Care module enabled within </w:t>
      </w:r>
      <w:proofErr w:type="spellStart"/>
      <w:r>
        <w:t>ApEX</w:t>
      </w:r>
      <w:proofErr w:type="spellEnd"/>
      <w:r>
        <w:t>/MyChart, aims to improve patient and provider satisfaction by streamlining the care delivery process for low-acuity, urgent issues. The initial intervention will be piloted at a single site, assessing patient satisfaction and provider ease of use as key outcomes.</w:t>
      </w:r>
    </w:p>
    <w:p w14:paraId="4B80DB78" w14:textId="39C41DB7" w:rsidR="00BA3FB2" w:rsidRDefault="00BA3FB2" w:rsidP="009078B8">
      <w:r>
        <w:t>The target population for this intervention includes all UCSF established primary care patients, ensuring a broad and inclusive approach. Our expansion plan over the next 12 months aims to extend Express Care to all remaining UCSF Primary Care clinic locations, including DGIM, China Basin, San Mateo, Geriatrics, and Women's Health, with the specific timing of each rollout dependent on staffing availability. This plan also includes utilizing existing APP staff from Primary Care clinics to increase utilization efficiently.</w:t>
      </w:r>
    </w:p>
    <w:p w14:paraId="29705D9E" w14:textId="378E5079" w:rsidR="00BA3FB2" w:rsidRDefault="00BA3FB2" w:rsidP="009078B8">
      <w:r>
        <w:t>Addressing ongoing needs and barriers is crucial for the success of Express Care. Developing a backup system to optimize staffing and accommodate surges in volume, as well as unexpected provider absences, is a priority. Additionally, we plan to develop a Tableau dashboard for monitoring metrics, including equity gaps, with a specific focus on ensuring that the target metrics for Limited English Proficiency (LEP) and minority populations match the distribution set by existing standard telehealth visits in primary care. Improving instructional tools for LEP patients to support increased utilization, such as developing a website and instructional videos in the most common languages, is also part of our plan. However, a limitation remains as MyChart is currently only available in English and Spanish.</w:t>
      </w:r>
    </w:p>
    <w:p w14:paraId="0A5E4C9A" w14:textId="4144BAD3" w:rsidR="007979FC" w:rsidRDefault="00BA3FB2" w:rsidP="009078B8">
      <w:r>
        <w:t>Potential adverse outcomes of this intervention include the possibility of patients relying too heavily on Express Care for issues outside the listed reasons for visit, which may increase discontinuity of care with their primary care provider (PCP). To mitigate this risk, clear guidelines and communication strategies will be developed to ensure patients understand the appropriate use of Express Care and maintain continuity of care with their PCP.</w:t>
      </w:r>
    </w:p>
    <w:p w14:paraId="180D3C6F" w14:textId="3995F9E2" w:rsidR="00BA3FB2" w:rsidRDefault="00BA3FB2" w:rsidP="009078B8">
      <w:r w:rsidRPr="4E03744C">
        <w:rPr>
          <w:b/>
          <w:bCs/>
        </w:rPr>
        <w:t>PROPOSED EHR MODIFICATIONS</w:t>
      </w:r>
      <w:r>
        <w:t xml:space="preserve"> </w:t>
      </w:r>
    </w:p>
    <w:p w14:paraId="7BC0422A" w14:textId="4F741353" w:rsidR="007979FC" w:rsidRPr="009078B8" w:rsidRDefault="00BA3FB2" w:rsidP="009078B8">
      <w:pPr>
        <w:rPr>
          <w:i/>
          <w:iCs/>
          <w:u w:val="single"/>
        </w:rPr>
      </w:pPr>
      <w:r w:rsidRPr="4E03744C">
        <w:rPr>
          <w:i/>
          <w:iCs/>
          <w:u w:val="single"/>
        </w:rPr>
        <w:t xml:space="preserve">Clinical Problems to Solve with </w:t>
      </w:r>
      <w:proofErr w:type="spellStart"/>
      <w:r w:rsidRPr="4E03744C">
        <w:rPr>
          <w:i/>
          <w:iCs/>
          <w:u w:val="single"/>
        </w:rPr>
        <w:t>APeX</w:t>
      </w:r>
      <w:proofErr w:type="spellEnd"/>
      <w:r w:rsidR="342500F7" w:rsidRPr="4E03744C">
        <w:rPr>
          <w:i/>
          <w:iCs/>
        </w:rPr>
        <w:t xml:space="preserve"> - </w:t>
      </w:r>
      <w:r>
        <w:t xml:space="preserve">Our project aims to address several clinical problems through the implementation of Express Care. Firstly, we seek to improve patient access to care for time-sensitive, low-acuity concerns. The current system often results in delays that can exacerbate health issues or lead to patient dissatisfaction due to extensive routing required and lack of timely care. Secondly, we aim to reduce the volume of new in-basket messages that providers (APP, MD, DO) must manage, which can be time-consuming and detract from patient care. Thirdly, by offering near-immediate access to medical services for time-sensitive concerns, we intend to significantly improve patient satisfaction. Lastly, we </w:t>
      </w:r>
      <w:r>
        <w:lastRenderedPageBreak/>
        <w:t>plan to enhance APP utilization by shifting the focus from addressing medical concerns via messaging or telephone encounters to increasing the volume of standard billable visits.</w:t>
      </w:r>
    </w:p>
    <w:p w14:paraId="46AA9F47" w14:textId="72EE3001" w:rsidR="00BA3FB2" w:rsidRDefault="00BA3FB2" w:rsidP="009078B8">
      <w:pPr>
        <w:rPr>
          <w:i/>
          <w:iCs/>
          <w:u w:val="single"/>
        </w:rPr>
      </w:pPr>
      <w:r w:rsidRPr="4E03744C">
        <w:rPr>
          <w:i/>
          <w:iCs/>
          <w:u w:val="single"/>
        </w:rPr>
        <w:t xml:space="preserve">Current </w:t>
      </w:r>
      <w:proofErr w:type="spellStart"/>
      <w:r w:rsidRPr="4E03744C">
        <w:rPr>
          <w:i/>
          <w:iCs/>
          <w:u w:val="single"/>
        </w:rPr>
        <w:t>APeX</w:t>
      </w:r>
      <w:proofErr w:type="spellEnd"/>
      <w:r w:rsidRPr="4E03744C">
        <w:rPr>
          <w:i/>
          <w:iCs/>
          <w:u w:val="single"/>
        </w:rPr>
        <w:t xml:space="preserve"> Tools and Desired Modifications</w:t>
      </w:r>
      <w:r w:rsidR="4E816172" w:rsidRPr="4E03744C">
        <w:rPr>
          <w:i/>
          <w:iCs/>
        </w:rPr>
        <w:t xml:space="preserve"> - </w:t>
      </w:r>
      <w:r>
        <w:t xml:space="preserve">To achieve our objectives, we have enabled the Express Care module within </w:t>
      </w:r>
      <w:proofErr w:type="spellStart"/>
      <w:r>
        <w:t>ApEX</w:t>
      </w:r>
      <w:proofErr w:type="spellEnd"/>
      <w:r>
        <w:t xml:space="preserve"> and MyChart on October 11, 2023, which was available within UCSF's existing EPIC license but not previously built out. Currently, this module facilitates patient access to Express Care via MyChart, targeting patients who have had an encounter within the past three years in specific departments including Lakeshore Family Medicine, UCSF Primary Care Laurel Village, and Laurel Village Pediatric Primary Care.</w:t>
      </w:r>
    </w:p>
    <w:p w14:paraId="50EEF327" w14:textId="2CA1939E" w:rsidR="007979FC" w:rsidRDefault="00BA3FB2" w:rsidP="009078B8">
      <w:r>
        <w:t xml:space="preserve">Our desired modifications to the current </w:t>
      </w:r>
      <w:proofErr w:type="spellStart"/>
      <w:r>
        <w:t>APeX</w:t>
      </w:r>
      <w:proofErr w:type="spellEnd"/>
      <w:r>
        <w:t xml:space="preserve"> tools include the elimination of non-essential screens on MyChart to improve patient navigation and the simplification of instructions to maximize patient understanding of the steps involved. Additionally, we aim to create a direct link within the Reason for Visit selection page to route patients directly to scheduling if their concern is not appropriate for Express Care, </w:t>
      </w:r>
      <w:proofErr w:type="gramStart"/>
      <w:r>
        <w:t>as a means to</w:t>
      </w:r>
      <w:proofErr w:type="gramEnd"/>
      <w:r>
        <w:t xml:space="preserve"> reduce potential for further </w:t>
      </w:r>
      <w:proofErr w:type="spellStart"/>
      <w:r>
        <w:t>inbasket</w:t>
      </w:r>
      <w:proofErr w:type="spellEnd"/>
      <w:r>
        <w:t xml:space="preserve"> messaging.</w:t>
      </w:r>
    </w:p>
    <w:p w14:paraId="5C5E3FAD" w14:textId="7C9E7409" w:rsidR="00BA3FB2" w:rsidRDefault="00BA3FB2" w:rsidP="009078B8">
      <w:pPr>
        <w:rPr>
          <w:i/>
          <w:iCs/>
          <w:u w:val="single"/>
        </w:rPr>
      </w:pPr>
      <w:r w:rsidRPr="4E03744C">
        <w:rPr>
          <w:i/>
          <w:iCs/>
          <w:u w:val="single"/>
        </w:rPr>
        <w:t xml:space="preserve">New </w:t>
      </w:r>
      <w:proofErr w:type="spellStart"/>
      <w:r w:rsidRPr="4E03744C">
        <w:rPr>
          <w:i/>
          <w:iCs/>
          <w:u w:val="single"/>
        </w:rPr>
        <w:t>APeX</w:t>
      </w:r>
      <w:proofErr w:type="spellEnd"/>
      <w:r w:rsidRPr="4E03744C">
        <w:rPr>
          <w:i/>
          <w:iCs/>
          <w:u w:val="single"/>
        </w:rPr>
        <w:t xml:space="preserve"> Tools/Workflows Needed</w:t>
      </w:r>
      <w:r w:rsidR="77FA77AC" w:rsidRPr="4E03744C">
        <w:rPr>
          <w:i/>
          <w:iCs/>
        </w:rPr>
        <w:t xml:space="preserve"> - </w:t>
      </w:r>
      <w:r>
        <w:t xml:space="preserve">To further enhance our project's effectiveness, we believe several new </w:t>
      </w:r>
      <w:proofErr w:type="spellStart"/>
      <w:r>
        <w:t>APeX</w:t>
      </w:r>
      <w:proofErr w:type="spellEnd"/>
      <w:r>
        <w:t xml:space="preserve"> tools and workflows may be necessary. If approved for a centralized cost-center, we need to consider a standard results/in-basket management protocol for off-shift providers (precedence for this set by UCSF urgent care sites). This would ensure efficient management of patient results. If additional departments are interested in utilizing Express Care, resourcing for the build of additional generic provider pools is necessary to create separate staffing pools. In this setting, an analyst on-demand would need to be established for unexpected scheduling changes to close select templates to avoid closure of the entire tool.</w:t>
      </w:r>
    </w:p>
    <w:p w14:paraId="71F96E8D" w14:textId="636FD490" w:rsidR="008671DF" w:rsidRDefault="00BA3FB2" w:rsidP="009078B8">
      <w:r>
        <w:t xml:space="preserve">Another potential future enhancement includes the integration with the symptom checker module to improve efficiency further, by allowing patients to provide additional HPI elements prior to start of the visit, so the provider may have this information available to facilitate care more rapidly. This would be a large build </w:t>
      </w:r>
      <w:proofErr w:type="gramStart"/>
      <w:r>
        <w:t>requirement, and</w:t>
      </w:r>
      <w:proofErr w:type="gramEnd"/>
      <w:r>
        <w:t xml:space="preserve"> would need to be evaluated for its potential to fill other existing gaps in the enterprise, and would only be justifiable if provider efficiency was identified as a gap requiring improvement. Otherwise, this runs the risk of creating an increased barrier to patient enrollment and a possible dissatisfier. </w:t>
      </w:r>
    </w:p>
    <w:p w14:paraId="66F7485E" w14:textId="77FCFF13" w:rsidR="00DB768E" w:rsidRDefault="00BA3FB2" w:rsidP="009078B8">
      <w:r w:rsidRPr="4E03744C">
        <w:rPr>
          <w:b/>
          <w:bCs/>
        </w:rPr>
        <w:t>RETURN ON INVESTMENT (ROI)</w:t>
      </w:r>
      <w:r>
        <w:t xml:space="preserve"> </w:t>
      </w:r>
      <w:r w:rsidR="00DB768E">
        <w:t>–</w:t>
      </w:r>
      <w:r>
        <w:t xml:space="preserve"> The proposal to widely expand Express Care yields significant return on investment in three main forms: cost savings, revenue generation, and patient experience. Express Care, as a service model, is extremely efficient because it ameliorates the need for scheduling support, clinical nursing support, and physical space compared to traditional models of care. Therefore, cost savings are significant, and estimated to be up to $289,262.06 in the first year of </w:t>
      </w:r>
      <w:proofErr w:type="gramStart"/>
      <w:r>
        <w:t>expansion, and</w:t>
      </w:r>
      <w:proofErr w:type="gramEnd"/>
      <w:r>
        <w:t xml:space="preserve"> increasing to $369,270.72 in the second year of expansion.</w:t>
      </w:r>
    </w:p>
    <w:p w14:paraId="404A96FD" w14:textId="0512A8EC" w:rsidR="00BA3FB2" w:rsidRDefault="00BA3FB2" w:rsidP="009078B8">
      <w:r>
        <w:t>Revenue generation for this new service is predicted to be strong, as indicated by the pilot period. Almost all visits have been billed as 99213, yielding a Medicare Reimbursement rate of $109.75 per visit, for a total revenue generation of $725,090.43 in year one, and increasing to $925,647.36 in the second year of expansion.</w:t>
      </w:r>
    </w:p>
    <w:p w14:paraId="5D1ED025" w14:textId="3AC89E0E" w:rsidR="00BB5786" w:rsidRDefault="00BA3FB2" w:rsidP="009078B8">
      <w:r>
        <w:t xml:space="preserve">These cost savings and revenue generation estimates </w:t>
      </w:r>
      <w:r w:rsidR="00BB5786">
        <w:t>(</w:t>
      </w:r>
      <w:r w:rsidR="00BB5786" w:rsidRPr="00515782">
        <w:t xml:space="preserve">Table </w:t>
      </w:r>
      <w:r w:rsidR="003F5691" w:rsidRPr="00515782">
        <w:t>2</w:t>
      </w:r>
      <w:r w:rsidR="00BB5786">
        <w:t xml:space="preserve">) </w:t>
      </w:r>
      <w:r>
        <w:t>are likely conservative to the actual value provided by this service modality, given that creating a billable outlet for these visits also increases downstream capacity in primary care clinics for higher acuity visits and greater patient volumes.</w:t>
      </w:r>
    </w:p>
    <w:p w14:paraId="6189F7F7" w14:textId="4B97E615" w:rsidR="008671DF" w:rsidRPr="00E45A4F" w:rsidRDefault="00BA3FB2" w:rsidP="009078B8">
      <w:r>
        <w:t>Finally, there is a qualitative return on investment by satisfying the patient expectations and needs. The pilot demonstrated strong satisfaction for patient experience, and likelihood to recommend – further increasing the desirability and convenience of this type of service (</w:t>
      </w:r>
      <w:r w:rsidRPr="00515782">
        <w:t xml:space="preserve">Table </w:t>
      </w:r>
      <w:r w:rsidR="003F5691" w:rsidRPr="00515782">
        <w:t>3</w:t>
      </w:r>
      <w:r>
        <w:t>).</w:t>
      </w:r>
    </w:p>
    <w:p w14:paraId="3EF0FA31" w14:textId="4A285F96" w:rsidR="00020AD2" w:rsidRPr="00E45A4F" w:rsidRDefault="00BA3FB2" w:rsidP="009078B8">
      <w:pPr>
        <w:rPr>
          <w:b/>
          <w:bCs/>
        </w:rPr>
      </w:pPr>
      <w:r w:rsidRPr="4E03744C">
        <w:rPr>
          <w:b/>
          <w:bCs/>
        </w:rPr>
        <w:t>SUSTAINABILITY</w:t>
      </w:r>
      <w:r w:rsidR="6EAABCB7" w:rsidRPr="4E03744C">
        <w:rPr>
          <w:b/>
          <w:bCs/>
        </w:rPr>
        <w:t xml:space="preserve"> </w:t>
      </w:r>
      <w:r w:rsidR="00DB768E">
        <w:rPr>
          <w:b/>
          <w:bCs/>
        </w:rPr>
        <w:t>–</w:t>
      </w:r>
      <w:r w:rsidR="6EAABCB7" w:rsidRPr="4E03744C">
        <w:rPr>
          <w:b/>
          <w:bCs/>
        </w:rPr>
        <w:t xml:space="preserve"> </w:t>
      </w:r>
      <w:r>
        <w:t>The financial resources from Caring Wisely would support infrastructure</w:t>
      </w:r>
      <w:r w:rsidR="002D5D02">
        <w:t xml:space="preserve"> to </w:t>
      </w:r>
      <w:r>
        <w:t>scale the service</w:t>
      </w:r>
      <w:r w:rsidR="00006767">
        <w:t>.</w:t>
      </w:r>
      <w:r>
        <w:t xml:space="preserve"> Once scaled, Express Care is a financially sustainable service that generates revenue while minimizing the expense typically associated with providing care.</w:t>
      </w:r>
      <w:r w:rsidR="36F0A00C">
        <w:t xml:space="preserve"> </w:t>
      </w:r>
      <w:r>
        <w:t>Administrative support for operational planning (budgeting, resource allocation, staffing support) would continue through its existing project leadership, although depending on the scale of Express Visits, could eventually become its own</w:t>
      </w:r>
      <w:r w:rsidR="00006767">
        <w:t xml:space="preserve"> self-sustaining</w:t>
      </w:r>
      <w:r>
        <w:t xml:space="preserve"> cost center with dedicated leaders.</w:t>
      </w:r>
    </w:p>
    <w:p w14:paraId="4318BE6B" w14:textId="6513C2C9" w:rsidR="00BA3FB2" w:rsidRDefault="00BA3FB2" w:rsidP="009078B8">
      <w:r w:rsidRPr="4E03744C">
        <w:rPr>
          <w:b/>
          <w:bCs/>
        </w:rPr>
        <w:lastRenderedPageBreak/>
        <w:t>BUDGET</w:t>
      </w:r>
      <w:r w:rsidR="35157473" w:rsidRPr="4E03744C">
        <w:rPr>
          <w:b/>
          <w:bCs/>
        </w:rPr>
        <w:t xml:space="preserve"> - </w:t>
      </w:r>
      <w:r>
        <w:t xml:space="preserve">The focus of our budget is to develop infrastructure to support the wide utilization of Express Care </w:t>
      </w:r>
      <w:proofErr w:type="gramStart"/>
      <w:r>
        <w:t>through:</w:t>
      </w:r>
      <w:proofErr w:type="gramEnd"/>
      <w:r>
        <w:t xml:space="preserve"> creation of patient-facing resources, Tableau dashboard development, training resources for staff and creation of standard work, improvements to the MyChart user interface, and team building activities.</w:t>
      </w:r>
    </w:p>
    <w:p w14:paraId="274DF620" w14:textId="6307036B" w:rsidR="00BA3FB2" w:rsidRDefault="00BA3FB2" w:rsidP="009078B8">
      <w:pPr>
        <w:pStyle w:val="ListParagraph"/>
        <w:numPr>
          <w:ilvl w:val="0"/>
          <w:numId w:val="7"/>
        </w:numPr>
      </w:pPr>
      <w:r>
        <w:t xml:space="preserve">Patient Facing Resources. Estimate - $10,000. Patient facing resources include a website, with both videos and instructions available for mobile and computer access, as well as PDF instructions. All of these resources should be available in multiple languages (see </w:t>
      </w:r>
      <w:proofErr w:type="gramStart"/>
      <w:r>
        <w:t>https://videovisit.ucsf.edu/ )</w:t>
      </w:r>
      <w:proofErr w:type="gramEnd"/>
      <w:r>
        <w:t>. Plans also include marking resources to familiarize patients with the tool, as well as flyers available in primary care clinics to advertise the service.</w:t>
      </w:r>
    </w:p>
    <w:p w14:paraId="74E7E8A3" w14:textId="6F1E739C" w:rsidR="00BA3FB2" w:rsidRDefault="00BA3FB2" w:rsidP="009078B8">
      <w:pPr>
        <w:pStyle w:val="ListParagraph"/>
        <w:numPr>
          <w:ilvl w:val="0"/>
          <w:numId w:val="7"/>
        </w:numPr>
      </w:pPr>
      <w:r>
        <w:t>Tableau Dashboard. Estimate - $10,000. The Tableau Dashboard will have Express Care data to evaluate revenue and billing, utilization, demographics of patients that utilize Express Care, and patient experience. These funds will be used to support analyst time to develop and build the dashboards.</w:t>
      </w:r>
    </w:p>
    <w:p w14:paraId="7FD4AC33" w14:textId="7CE2EB97" w:rsidR="00BA3FB2" w:rsidRDefault="00BA3FB2" w:rsidP="009078B8">
      <w:pPr>
        <w:pStyle w:val="ListParagraph"/>
        <w:numPr>
          <w:ilvl w:val="0"/>
          <w:numId w:val="7"/>
        </w:numPr>
      </w:pPr>
      <w:r>
        <w:t xml:space="preserve">Training Resources for Staff. Estimate - $5,000. As a new service, Express Care requires training specific to provider workflows that are distinct from conventional workflows. Training materials, including tipsheets, training videos, and resources will need to be created. Additionally, further development of standard work for managing templates, staffing coordination, and </w:t>
      </w:r>
    </w:p>
    <w:p w14:paraId="1CDF0B74" w14:textId="547BFEC0" w:rsidR="00BA3FB2" w:rsidRDefault="00BA3FB2" w:rsidP="009078B8">
      <w:pPr>
        <w:pStyle w:val="ListParagraph"/>
        <w:numPr>
          <w:ilvl w:val="0"/>
          <w:numId w:val="7"/>
        </w:numPr>
      </w:pPr>
      <w:r>
        <w:t>MyChart User Interface. Estimate - $20,000. MyChart has a limited number of icons that are available, and development of a custom library of icons will help make the tool more accessible to LEP patients.</w:t>
      </w:r>
    </w:p>
    <w:p w14:paraId="5AF88756" w14:textId="1418B813" w:rsidR="00DF09E6" w:rsidRDefault="00BA3FB2" w:rsidP="009078B8">
      <w:pPr>
        <w:pStyle w:val="ListParagraph"/>
        <w:numPr>
          <w:ilvl w:val="0"/>
          <w:numId w:val="7"/>
        </w:numPr>
      </w:pPr>
      <w:r>
        <w:t>Team Development Initiatives. Estimate - $5000. For the use of trainings for professional development, recognition for team participation, and purchase of any supplies or equipment that may be needed.</w:t>
      </w:r>
    </w:p>
    <w:p w14:paraId="7C149C6E" w14:textId="77777777" w:rsidR="00BA3FB2" w:rsidRDefault="00BA3FB2" w:rsidP="009078B8"/>
    <w:p w14:paraId="5C6086DE" w14:textId="7E22E37D" w:rsidR="00BA3FB2" w:rsidRDefault="00BA3FB2" w:rsidP="009078B8">
      <w:r>
        <w:br w:type="page"/>
      </w:r>
    </w:p>
    <w:p w14:paraId="1B7E2162" w14:textId="74BC452A" w:rsidR="00BA3FB2" w:rsidRPr="002E4984" w:rsidRDefault="00BA3FB2" w:rsidP="002E4984">
      <w:pPr>
        <w:spacing w:after="0"/>
        <w:jc w:val="center"/>
        <w:rPr>
          <w:b/>
          <w:bCs/>
          <w:sz w:val="28"/>
          <w:szCs w:val="28"/>
        </w:rPr>
      </w:pPr>
      <w:r w:rsidRPr="002E4984">
        <w:rPr>
          <w:b/>
          <w:bCs/>
          <w:sz w:val="28"/>
          <w:szCs w:val="28"/>
        </w:rPr>
        <w:lastRenderedPageBreak/>
        <w:t>Appendix</w:t>
      </w:r>
    </w:p>
    <w:p w14:paraId="056E922A" w14:textId="77777777" w:rsidR="00515782" w:rsidRDefault="00515782" w:rsidP="00234DF8">
      <w:pPr>
        <w:spacing w:before="100" w:beforeAutospacing="1" w:after="0" w:line="240" w:lineRule="auto"/>
        <w:rPr>
          <w:rFonts w:ascii="Times New Roman" w:eastAsia="Times New Roman" w:hAnsi="Times New Roman" w:cs="Times New Roman"/>
          <w:b/>
          <w:bCs/>
          <w:color w:val="4472C4" w:themeColor="accent1"/>
          <w:kern w:val="0"/>
          <w:sz w:val="18"/>
          <w:szCs w:val="18"/>
          <w14:ligatures w14:val="none"/>
        </w:rPr>
      </w:pPr>
    </w:p>
    <w:p w14:paraId="19D013CA" w14:textId="30B75CC4" w:rsidR="009919C2" w:rsidRDefault="14CBE5B7" w:rsidP="00234DF8">
      <w:pPr>
        <w:spacing w:before="100" w:beforeAutospacing="1" w:after="0" w:line="240" w:lineRule="auto"/>
        <w:rPr>
          <w:rFonts w:ascii="Times New Roman" w:eastAsia="Times New Roman" w:hAnsi="Times New Roman" w:cs="Times New Roman"/>
          <w:b/>
          <w:bCs/>
          <w:color w:val="4472C4" w:themeColor="accent1"/>
          <w:kern w:val="0"/>
          <w:sz w:val="18"/>
          <w:szCs w:val="18"/>
          <w14:ligatures w14:val="none"/>
        </w:rPr>
      </w:pPr>
      <w:r>
        <w:rPr>
          <w:noProof/>
        </w:rPr>
        <w:drawing>
          <wp:inline distT="0" distB="0" distL="0" distR="0" wp14:anchorId="6DB4D729" wp14:editId="27FA52E9">
            <wp:extent cx="6749015" cy="1847850"/>
            <wp:effectExtent l="0" t="0" r="0" b="0"/>
            <wp:docPr id="214316081" name="Picture 214316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a:extLst>
                        <a:ext uri="{28A0092B-C50C-407E-A947-70E740481C1C}">
                          <a14:useLocalDpi xmlns:a14="http://schemas.microsoft.com/office/drawing/2010/main" val="0"/>
                        </a:ext>
                      </a:extLst>
                    </a:blip>
                    <a:stretch>
                      <a:fillRect/>
                    </a:stretch>
                  </pic:blipFill>
                  <pic:spPr bwMode="auto">
                    <a:xfrm>
                      <a:off x="0" y="0"/>
                      <a:ext cx="6757658" cy="1850216"/>
                    </a:xfrm>
                    <a:prstGeom prst="rect">
                      <a:avLst/>
                    </a:prstGeom>
                    <a:noFill/>
                  </pic:spPr>
                </pic:pic>
              </a:graphicData>
            </a:graphic>
          </wp:inline>
        </w:drawing>
      </w:r>
    </w:p>
    <w:p w14:paraId="0357760D" w14:textId="1F1A7F4F" w:rsidR="4E03744C" w:rsidRDefault="00BA3FB2" w:rsidP="4E03744C">
      <w:pPr>
        <w:spacing w:after="0" w:line="240" w:lineRule="auto"/>
        <w:rPr>
          <w:rFonts w:eastAsia="Times New Roman" w:cstheme="minorHAnsi"/>
          <w:kern w:val="0"/>
          <w14:ligatures w14:val="none"/>
        </w:rPr>
      </w:pPr>
      <w:r w:rsidRPr="00A53805">
        <w:rPr>
          <w:rFonts w:eastAsia="Times New Roman" w:cstheme="minorHAnsi"/>
          <w:kern w:val="0"/>
          <w14:ligatures w14:val="none"/>
        </w:rPr>
        <w:t>Figure 1</w:t>
      </w:r>
      <w:r w:rsidR="00234DF8">
        <w:rPr>
          <w:rFonts w:eastAsia="Times New Roman" w:cstheme="minorHAnsi"/>
          <w:kern w:val="0"/>
          <w14:ligatures w14:val="none"/>
        </w:rPr>
        <w:t>.</w:t>
      </w:r>
      <w:r w:rsidRPr="00A53805">
        <w:rPr>
          <w:rFonts w:eastAsia="Times New Roman" w:cstheme="minorHAnsi"/>
          <w:kern w:val="0"/>
          <w14:ligatures w14:val="none"/>
        </w:rPr>
        <w:t xml:space="preserve"> Third Next Available Access (TNAA) at UCSF Primary Care at Laurel Village</w:t>
      </w:r>
      <w:r w:rsidR="00234DF8">
        <w:rPr>
          <w:rFonts w:eastAsia="Times New Roman" w:cstheme="minorHAnsi"/>
          <w:kern w:val="0"/>
          <w14:ligatures w14:val="none"/>
        </w:rPr>
        <w:t xml:space="preserve"> in days</w:t>
      </w:r>
      <w:r w:rsidR="00DD7F67">
        <w:rPr>
          <w:rFonts w:eastAsia="Times New Roman" w:cstheme="minorHAnsi"/>
          <w:kern w:val="0"/>
          <w14:ligatures w14:val="none"/>
        </w:rPr>
        <w:t>, showing that patients may not have urgent access for several days to weeks.</w:t>
      </w:r>
    </w:p>
    <w:p w14:paraId="5CE8D917" w14:textId="77777777" w:rsidR="002E4984" w:rsidRDefault="002E4984" w:rsidP="4E03744C">
      <w:pPr>
        <w:spacing w:after="0" w:line="240" w:lineRule="auto"/>
        <w:rPr>
          <w:rFonts w:eastAsia="Times New Roman" w:cstheme="minorHAnsi"/>
          <w:kern w:val="0"/>
          <w14:ligatures w14:val="none"/>
        </w:rPr>
      </w:pPr>
    </w:p>
    <w:p w14:paraId="2C6A2D6D" w14:textId="77777777" w:rsidR="00463910" w:rsidRDefault="00463910" w:rsidP="4E03744C">
      <w:pPr>
        <w:spacing w:after="0" w:line="240" w:lineRule="auto"/>
        <w:rPr>
          <w:rFonts w:eastAsia="Times New Roman" w:cstheme="minorHAnsi"/>
          <w:kern w:val="0"/>
          <w14:ligatures w14:val="none"/>
        </w:rPr>
      </w:pPr>
    </w:p>
    <w:p w14:paraId="1D59989B" w14:textId="77777777" w:rsidR="00463910" w:rsidRPr="00A53805" w:rsidRDefault="00463910" w:rsidP="4E03744C">
      <w:pPr>
        <w:spacing w:after="0" w:line="240" w:lineRule="auto"/>
        <w:rPr>
          <w:rFonts w:eastAsia="Times New Roman" w:cstheme="minorHAnsi"/>
          <w:kern w:val="0"/>
          <w14:ligatures w14:val="none"/>
        </w:rPr>
      </w:pPr>
    </w:p>
    <w:p w14:paraId="25D38F7F" w14:textId="77777777" w:rsidR="00560360" w:rsidRPr="00560360" w:rsidRDefault="00560360" w:rsidP="4E03744C">
      <w:pPr>
        <w:spacing w:after="0" w:line="240" w:lineRule="auto"/>
        <w:rPr>
          <w:rFonts w:ascii="Times New Roman" w:eastAsia="Times New Roman" w:hAnsi="Times New Roman" w:cs="Times New Roman"/>
          <w:b/>
          <w:bCs/>
          <w:kern w:val="0"/>
          <w:sz w:val="18"/>
          <w:szCs w:val="18"/>
          <w14:ligatures w14:val="none"/>
        </w:rPr>
      </w:pPr>
    </w:p>
    <w:tbl>
      <w:tblPr>
        <w:tblStyle w:val="PlainTable5"/>
        <w:tblpPr w:leftFromText="180" w:rightFromText="180" w:vertAnchor="text" w:horzAnchor="margin"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1427"/>
        <w:gridCol w:w="913"/>
        <w:gridCol w:w="2610"/>
      </w:tblGrid>
      <w:tr w:rsidR="00BA3FB2" w:rsidRPr="00BA3FB2" w14:paraId="7319D9AC" w14:textId="77777777" w:rsidTr="00824EF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65" w:type="dxa"/>
            <w:tcBorders>
              <w:bottom w:val="none" w:sz="0" w:space="0" w:color="auto"/>
              <w:right w:val="none" w:sz="0" w:space="0" w:color="auto"/>
            </w:tcBorders>
          </w:tcPr>
          <w:p w14:paraId="78F61BE6" w14:textId="77777777" w:rsidR="00BA3FB2" w:rsidRPr="00824EF4" w:rsidRDefault="00BA3FB2" w:rsidP="00020AD2">
            <w:pPr>
              <w:spacing w:before="100" w:beforeAutospacing="1"/>
              <w:jc w:val="left"/>
              <w:rPr>
                <w:rFonts w:asciiTheme="minorHAnsi" w:eastAsia="Times New Roman" w:hAnsiTheme="minorHAnsi" w:cstheme="minorHAnsi"/>
                <w:b/>
                <w:bCs/>
                <w:i w:val="0"/>
                <w:iCs w:val="0"/>
                <w:kern w:val="0"/>
                <w:sz w:val="22"/>
                <w14:ligatures w14:val="none"/>
              </w:rPr>
            </w:pPr>
            <w:r w:rsidRPr="00824EF4">
              <w:rPr>
                <w:rFonts w:asciiTheme="minorHAnsi" w:eastAsia="Times New Roman" w:hAnsiTheme="minorHAnsi" w:cstheme="minorHAnsi"/>
                <w:b/>
                <w:bCs/>
                <w:i w:val="0"/>
                <w:iCs w:val="0"/>
                <w:kern w:val="0"/>
                <w:sz w:val="22"/>
                <w14:ligatures w14:val="none"/>
              </w:rPr>
              <w:t>Visit</w:t>
            </w:r>
          </w:p>
        </w:tc>
        <w:tc>
          <w:tcPr>
            <w:tcW w:w="1427" w:type="dxa"/>
            <w:tcBorders>
              <w:bottom w:val="none" w:sz="0" w:space="0" w:color="auto"/>
            </w:tcBorders>
          </w:tcPr>
          <w:p w14:paraId="14993BD2" w14:textId="77777777" w:rsidR="00BA3FB2" w:rsidRPr="00824EF4" w:rsidRDefault="00BA3FB2" w:rsidP="00020AD2">
            <w:pPr>
              <w:spacing w:before="100" w:beforeAutospacing="1"/>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val="0"/>
                <w:iCs w:val="0"/>
                <w:kern w:val="0"/>
                <w:sz w:val="22"/>
                <w14:ligatures w14:val="none"/>
              </w:rPr>
            </w:pPr>
            <w:r w:rsidRPr="00824EF4">
              <w:rPr>
                <w:rFonts w:asciiTheme="minorHAnsi" w:eastAsia="Times New Roman" w:hAnsiTheme="minorHAnsi" w:cstheme="minorHAnsi"/>
                <w:b/>
                <w:bCs/>
                <w:i w:val="0"/>
                <w:iCs w:val="0"/>
                <w:kern w:val="0"/>
                <w:sz w:val="22"/>
                <w14:ligatures w14:val="none"/>
              </w:rPr>
              <w:t>Billing Code</w:t>
            </w:r>
          </w:p>
        </w:tc>
        <w:tc>
          <w:tcPr>
            <w:tcW w:w="913" w:type="dxa"/>
            <w:tcBorders>
              <w:bottom w:val="none" w:sz="0" w:space="0" w:color="auto"/>
            </w:tcBorders>
          </w:tcPr>
          <w:p w14:paraId="5598A51B" w14:textId="093C539B" w:rsidR="00BA3FB2" w:rsidRPr="00824EF4" w:rsidRDefault="00BA3FB2" w:rsidP="00020AD2">
            <w:pPr>
              <w:spacing w:before="100" w:beforeAutospacing="1"/>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val="0"/>
                <w:iCs w:val="0"/>
                <w:kern w:val="0"/>
                <w:sz w:val="22"/>
                <w14:ligatures w14:val="none"/>
              </w:rPr>
            </w:pPr>
            <w:proofErr w:type="spellStart"/>
            <w:r w:rsidRPr="00824EF4">
              <w:rPr>
                <w:rFonts w:asciiTheme="minorHAnsi" w:eastAsia="Times New Roman" w:hAnsiTheme="minorHAnsi" w:cstheme="minorHAnsi"/>
                <w:b/>
                <w:bCs/>
                <w:i w:val="0"/>
                <w:iCs w:val="0"/>
                <w:kern w:val="0"/>
                <w:sz w:val="22"/>
                <w14:ligatures w14:val="none"/>
              </w:rPr>
              <w:t>wRVU</w:t>
            </w:r>
            <w:proofErr w:type="spellEnd"/>
          </w:p>
        </w:tc>
        <w:tc>
          <w:tcPr>
            <w:tcW w:w="2610" w:type="dxa"/>
            <w:tcBorders>
              <w:bottom w:val="none" w:sz="0" w:space="0" w:color="auto"/>
            </w:tcBorders>
          </w:tcPr>
          <w:p w14:paraId="5C02D107" w14:textId="77777777" w:rsidR="00BA3FB2" w:rsidRPr="00824EF4" w:rsidRDefault="00BA3FB2" w:rsidP="00020AD2">
            <w:pPr>
              <w:spacing w:before="100" w:beforeAutospacing="1"/>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val="0"/>
                <w:iCs w:val="0"/>
                <w:kern w:val="0"/>
                <w:sz w:val="22"/>
                <w14:ligatures w14:val="none"/>
              </w:rPr>
            </w:pPr>
            <w:r w:rsidRPr="00824EF4">
              <w:rPr>
                <w:rFonts w:asciiTheme="minorHAnsi" w:eastAsia="Times New Roman" w:hAnsiTheme="minorHAnsi" w:cstheme="minorHAnsi"/>
                <w:b/>
                <w:bCs/>
                <w:i w:val="0"/>
                <w:iCs w:val="0"/>
                <w:kern w:val="0"/>
                <w:sz w:val="22"/>
                <w14:ligatures w14:val="none"/>
              </w:rPr>
              <w:t>Medicare Reimbursement</w:t>
            </w:r>
          </w:p>
        </w:tc>
      </w:tr>
      <w:tr w:rsidR="00BA3FB2" w:rsidRPr="00BA3FB2" w14:paraId="3A433347" w14:textId="77777777" w:rsidTr="00824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Borders>
              <w:right w:val="none" w:sz="0" w:space="0" w:color="auto"/>
            </w:tcBorders>
          </w:tcPr>
          <w:p w14:paraId="41C09D69" w14:textId="77777777" w:rsidR="00BA3FB2" w:rsidRPr="00824EF4" w:rsidRDefault="00BA3FB2" w:rsidP="00020AD2">
            <w:pPr>
              <w:spacing w:before="100" w:beforeAutospacing="1"/>
              <w:jc w:val="left"/>
              <w:rPr>
                <w:rFonts w:asciiTheme="minorHAnsi" w:eastAsia="Times New Roman" w:hAnsiTheme="minorHAnsi" w:cstheme="minorHAnsi"/>
                <w:bCs/>
                <w:i w:val="0"/>
                <w:iCs w:val="0"/>
                <w:kern w:val="0"/>
                <w:sz w:val="22"/>
                <w14:ligatures w14:val="none"/>
              </w:rPr>
            </w:pPr>
            <w:r w:rsidRPr="00824EF4">
              <w:rPr>
                <w:rFonts w:asciiTheme="minorHAnsi" w:eastAsia="Times New Roman" w:hAnsiTheme="minorHAnsi" w:cstheme="minorHAnsi"/>
                <w:bCs/>
                <w:i w:val="0"/>
                <w:iCs w:val="0"/>
                <w:kern w:val="0"/>
                <w:sz w:val="22"/>
                <w14:ligatures w14:val="none"/>
              </w:rPr>
              <w:t>Digital E/M 5-10 minutes</w:t>
            </w:r>
          </w:p>
        </w:tc>
        <w:tc>
          <w:tcPr>
            <w:tcW w:w="1427" w:type="dxa"/>
          </w:tcPr>
          <w:p w14:paraId="15639DCA" w14:textId="77777777" w:rsidR="00BA3FB2" w:rsidRPr="00824EF4" w:rsidRDefault="00BA3FB2" w:rsidP="00020AD2">
            <w:pPr>
              <w:spacing w:before="100" w:beforeAutospacing="1"/>
              <w:cnfStyle w:val="000000100000" w:firstRow="0" w:lastRow="0" w:firstColumn="0" w:lastColumn="0" w:oddVBand="0" w:evenVBand="0" w:oddHBand="1" w:evenHBand="0" w:firstRowFirstColumn="0" w:firstRowLastColumn="0" w:lastRowFirstColumn="0" w:lastRowLastColumn="0"/>
              <w:rPr>
                <w:rFonts w:eastAsia="Times New Roman" w:cstheme="minorHAnsi"/>
                <w:bCs/>
                <w:kern w:val="0"/>
                <w14:ligatures w14:val="none"/>
              </w:rPr>
            </w:pPr>
            <w:r w:rsidRPr="00824EF4">
              <w:rPr>
                <w:rFonts w:eastAsia="Times New Roman" w:cstheme="minorHAnsi"/>
                <w:bCs/>
                <w:kern w:val="0"/>
                <w14:ligatures w14:val="none"/>
              </w:rPr>
              <w:t>99421</w:t>
            </w:r>
          </w:p>
        </w:tc>
        <w:tc>
          <w:tcPr>
            <w:tcW w:w="913" w:type="dxa"/>
          </w:tcPr>
          <w:p w14:paraId="29A8FD4A" w14:textId="77777777" w:rsidR="00BA3FB2" w:rsidRPr="00824EF4" w:rsidRDefault="00BA3FB2" w:rsidP="00020AD2">
            <w:pPr>
              <w:spacing w:before="100" w:beforeAutospacing="1"/>
              <w:cnfStyle w:val="000000100000" w:firstRow="0" w:lastRow="0" w:firstColumn="0" w:lastColumn="0" w:oddVBand="0" w:evenVBand="0" w:oddHBand="1" w:evenHBand="0" w:firstRowFirstColumn="0" w:firstRowLastColumn="0" w:lastRowFirstColumn="0" w:lastRowLastColumn="0"/>
              <w:rPr>
                <w:rFonts w:eastAsia="Times New Roman" w:cstheme="minorHAnsi"/>
                <w:bCs/>
                <w:kern w:val="0"/>
                <w14:ligatures w14:val="none"/>
              </w:rPr>
            </w:pPr>
            <w:r w:rsidRPr="00824EF4">
              <w:rPr>
                <w:rFonts w:eastAsia="Times New Roman" w:cstheme="minorHAnsi"/>
                <w:bCs/>
                <w:kern w:val="0"/>
                <w14:ligatures w14:val="none"/>
              </w:rPr>
              <w:t>0.25</w:t>
            </w:r>
          </w:p>
        </w:tc>
        <w:tc>
          <w:tcPr>
            <w:tcW w:w="2610" w:type="dxa"/>
          </w:tcPr>
          <w:p w14:paraId="5309CE7B" w14:textId="77777777" w:rsidR="00BA3FB2" w:rsidRPr="00824EF4" w:rsidRDefault="00BA3FB2" w:rsidP="00020AD2">
            <w:pPr>
              <w:spacing w:before="100" w:beforeAutospacing="1"/>
              <w:cnfStyle w:val="000000100000" w:firstRow="0" w:lastRow="0" w:firstColumn="0" w:lastColumn="0" w:oddVBand="0" w:evenVBand="0" w:oddHBand="1" w:evenHBand="0" w:firstRowFirstColumn="0" w:firstRowLastColumn="0" w:lastRowFirstColumn="0" w:lastRowLastColumn="0"/>
              <w:rPr>
                <w:rFonts w:eastAsia="Times New Roman" w:cstheme="minorHAnsi"/>
                <w:bCs/>
                <w:kern w:val="0"/>
                <w14:ligatures w14:val="none"/>
              </w:rPr>
            </w:pPr>
            <w:r w:rsidRPr="00824EF4">
              <w:rPr>
                <w:rFonts w:eastAsia="Times New Roman" w:cstheme="minorHAnsi"/>
                <w:bCs/>
                <w:kern w:val="0"/>
                <w14:ligatures w14:val="none"/>
              </w:rPr>
              <w:t>$17.56</w:t>
            </w:r>
          </w:p>
        </w:tc>
      </w:tr>
      <w:tr w:rsidR="00BA3FB2" w:rsidRPr="00BA3FB2" w14:paraId="33A40425" w14:textId="77777777" w:rsidTr="00824EF4">
        <w:tc>
          <w:tcPr>
            <w:cnfStyle w:val="001000000000" w:firstRow="0" w:lastRow="0" w:firstColumn="1" w:lastColumn="0" w:oddVBand="0" w:evenVBand="0" w:oddHBand="0" w:evenHBand="0" w:firstRowFirstColumn="0" w:firstRowLastColumn="0" w:lastRowFirstColumn="0" w:lastRowLastColumn="0"/>
            <w:tcW w:w="2965" w:type="dxa"/>
            <w:tcBorders>
              <w:right w:val="none" w:sz="0" w:space="0" w:color="auto"/>
            </w:tcBorders>
          </w:tcPr>
          <w:p w14:paraId="3F130887" w14:textId="77777777" w:rsidR="00BA3FB2" w:rsidRPr="00824EF4" w:rsidRDefault="00BA3FB2" w:rsidP="00020AD2">
            <w:pPr>
              <w:spacing w:before="100" w:beforeAutospacing="1"/>
              <w:jc w:val="left"/>
              <w:rPr>
                <w:rFonts w:asciiTheme="minorHAnsi" w:eastAsia="Times New Roman" w:hAnsiTheme="minorHAnsi" w:cstheme="minorHAnsi"/>
                <w:bCs/>
                <w:i w:val="0"/>
                <w:iCs w:val="0"/>
                <w:kern w:val="0"/>
                <w:sz w:val="22"/>
                <w14:ligatures w14:val="none"/>
              </w:rPr>
            </w:pPr>
            <w:r w:rsidRPr="00824EF4">
              <w:rPr>
                <w:rFonts w:asciiTheme="minorHAnsi" w:eastAsia="Times New Roman" w:hAnsiTheme="minorHAnsi" w:cstheme="minorHAnsi"/>
                <w:bCs/>
                <w:i w:val="0"/>
                <w:iCs w:val="0"/>
                <w:kern w:val="0"/>
                <w:sz w:val="22"/>
                <w14:ligatures w14:val="none"/>
              </w:rPr>
              <w:t>Digital E/M 11-20</w:t>
            </w:r>
          </w:p>
        </w:tc>
        <w:tc>
          <w:tcPr>
            <w:tcW w:w="1427" w:type="dxa"/>
          </w:tcPr>
          <w:p w14:paraId="583B05CC" w14:textId="77777777" w:rsidR="00BA3FB2" w:rsidRPr="00824EF4" w:rsidRDefault="00BA3FB2" w:rsidP="00020AD2">
            <w:pPr>
              <w:spacing w:before="100" w:beforeAutospacing="1"/>
              <w:cnfStyle w:val="000000000000" w:firstRow="0" w:lastRow="0" w:firstColumn="0" w:lastColumn="0" w:oddVBand="0" w:evenVBand="0" w:oddHBand="0" w:evenHBand="0" w:firstRowFirstColumn="0" w:firstRowLastColumn="0" w:lastRowFirstColumn="0" w:lastRowLastColumn="0"/>
              <w:rPr>
                <w:rFonts w:eastAsia="Times New Roman" w:cstheme="minorHAnsi"/>
                <w:bCs/>
                <w:kern w:val="0"/>
                <w14:ligatures w14:val="none"/>
              </w:rPr>
            </w:pPr>
            <w:r w:rsidRPr="00824EF4">
              <w:rPr>
                <w:rFonts w:eastAsia="Times New Roman" w:cstheme="minorHAnsi"/>
                <w:bCs/>
                <w:kern w:val="0"/>
                <w14:ligatures w14:val="none"/>
              </w:rPr>
              <w:t>99422</w:t>
            </w:r>
          </w:p>
        </w:tc>
        <w:tc>
          <w:tcPr>
            <w:tcW w:w="913" w:type="dxa"/>
          </w:tcPr>
          <w:p w14:paraId="6B5A4C62" w14:textId="77777777" w:rsidR="00BA3FB2" w:rsidRPr="00824EF4" w:rsidRDefault="00BA3FB2" w:rsidP="00020AD2">
            <w:pPr>
              <w:spacing w:before="100" w:beforeAutospacing="1"/>
              <w:cnfStyle w:val="000000000000" w:firstRow="0" w:lastRow="0" w:firstColumn="0" w:lastColumn="0" w:oddVBand="0" w:evenVBand="0" w:oddHBand="0" w:evenHBand="0" w:firstRowFirstColumn="0" w:firstRowLastColumn="0" w:lastRowFirstColumn="0" w:lastRowLastColumn="0"/>
              <w:rPr>
                <w:rFonts w:eastAsia="Times New Roman" w:cstheme="minorHAnsi"/>
                <w:bCs/>
                <w:kern w:val="0"/>
                <w14:ligatures w14:val="none"/>
              </w:rPr>
            </w:pPr>
            <w:r w:rsidRPr="00824EF4">
              <w:rPr>
                <w:rFonts w:eastAsia="Times New Roman" w:cstheme="minorHAnsi"/>
                <w:bCs/>
                <w:kern w:val="0"/>
                <w14:ligatures w14:val="none"/>
              </w:rPr>
              <w:t>0.5</w:t>
            </w:r>
          </w:p>
        </w:tc>
        <w:tc>
          <w:tcPr>
            <w:tcW w:w="2610" w:type="dxa"/>
          </w:tcPr>
          <w:p w14:paraId="02312D50" w14:textId="77777777" w:rsidR="00BA3FB2" w:rsidRPr="00824EF4" w:rsidRDefault="00BA3FB2" w:rsidP="00020AD2">
            <w:pPr>
              <w:spacing w:before="100" w:beforeAutospacing="1"/>
              <w:cnfStyle w:val="000000000000" w:firstRow="0" w:lastRow="0" w:firstColumn="0" w:lastColumn="0" w:oddVBand="0" w:evenVBand="0" w:oddHBand="0" w:evenHBand="0" w:firstRowFirstColumn="0" w:firstRowLastColumn="0" w:lastRowFirstColumn="0" w:lastRowLastColumn="0"/>
              <w:rPr>
                <w:rFonts w:eastAsia="Times New Roman" w:cstheme="minorHAnsi"/>
                <w:bCs/>
                <w:kern w:val="0"/>
                <w14:ligatures w14:val="none"/>
              </w:rPr>
            </w:pPr>
            <w:r w:rsidRPr="00824EF4">
              <w:rPr>
                <w:rFonts w:eastAsia="Times New Roman" w:cstheme="minorHAnsi"/>
                <w:bCs/>
                <w:kern w:val="0"/>
                <w14:ligatures w14:val="none"/>
              </w:rPr>
              <w:t>$34.19</w:t>
            </w:r>
          </w:p>
        </w:tc>
      </w:tr>
      <w:tr w:rsidR="00BA3FB2" w:rsidRPr="00BA3FB2" w14:paraId="40C77EC0" w14:textId="77777777" w:rsidTr="00824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Borders>
              <w:right w:val="none" w:sz="0" w:space="0" w:color="auto"/>
            </w:tcBorders>
          </w:tcPr>
          <w:p w14:paraId="363FCE1F" w14:textId="77777777" w:rsidR="00BA3FB2" w:rsidRPr="00824EF4" w:rsidRDefault="00BA3FB2" w:rsidP="00020AD2">
            <w:pPr>
              <w:spacing w:before="100" w:beforeAutospacing="1"/>
              <w:jc w:val="left"/>
              <w:rPr>
                <w:rFonts w:asciiTheme="minorHAnsi" w:eastAsia="Times New Roman" w:hAnsiTheme="minorHAnsi" w:cstheme="minorHAnsi"/>
                <w:bCs/>
                <w:i w:val="0"/>
                <w:iCs w:val="0"/>
                <w:kern w:val="0"/>
                <w:sz w:val="22"/>
                <w14:ligatures w14:val="none"/>
              </w:rPr>
            </w:pPr>
            <w:r w:rsidRPr="00824EF4">
              <w:rPr>
                <w:rFonts w:asciiTheme="minorHAnsi" w:eastAsia="Times New Roman" w:hAnsiTheme="minorHAnsi" w:cstheme="minorHAnsi"/>
                <w:bCs/>
                <w:i w:val="0"/>
                <w:iCs w:val="0"/>
                <w:kern w:val="0"/>
                <w:sz w:val="22"/>
                <w14:ligatures w14:val="none"/>
              </w:rPr>
              <w:t>Telephone E/M 5-10</w:t>
            </w:r>
          </w:p>
        </w:tc>
        <w:tc>
          <w:tcPr>
            <w:tcW w:w="1427" w:type="dxa"/>
          </w:tcPr>
          <w:p w14:paraId="48D33B1A" w14:textId="77777777" w:rsidR="00BA3FB2" w:rsidRPr="00824EF4" w:rsidRDefault="00BA3FB2" w:rsidP="00020AD2">
            <w:pPr>
              <w:spacing w:before="100" w:beforeAutospacing="1"/>
              <w:cnfStyle w:val="000000100000" w:firstRow="0" w:lastRow="0" w:firstColumn="0" w:lastColumn="0" w:oddVBand="0" w:evenVBand="0" w:oddHBand="1" w:evenHBand="0" w:firstRowFirstColumn="0" w:firstRowLastColumn="0" w:lastRowFirstColumn="0" w:lastRowLastColumn="0"/>
              <w:rPr>
                <w:rFonts w:eastAsia="Times New Roman" w:cstheme="minorHAnsi"/>
                <w:bCs/>
                <w:kern w:val="0"/>
                <w14:ligatures w14:val="none"/>
              </w:rPr>
            </w:pPr>
            <w:r w:rsidRPr="00824EF4">
              <w:rPr>
                <w:rFonts w:eastAsia="Times New Roman" w:cstheme="minorHAnsi"/>
                <w:bCs/>
                <w:kern w:val="0"/>
                <w14:ligatures w14:val="none"/>
              </w:rPr>
              <w:t>99441</w:t>
            </w:r>
          </w:p>
        </w:tc>
        <w:tc>
          <w:tcPr>
            <w:tcW w:w="913" w:type="dxa"/>
          </w:tcPr>
          <w:p w14:paraId="6A8F24FE" w14:textId="77777777" w:rsidR="00BA3FB2" w:rsidRPr="00824EF4" w:rsidRDefault="00BA3FB2" w:rsidP="00020AD2">
            <w:pPr>
              <w:spacing w:before="100" w:beforeAutospacing="1"/>
              <w:cnfStyle w:val="000000100000" w:firstRow="0" w:lastRow="0" w:firstColumn="0" w:lastColumn="0" w:oddVBand="0" w:evenVBand="0" w:oddHBand="1" w:evenHBand="0" w:firstRowFirstColumn="0" w:firstRowLastColumn="0" w:lastRowFirstColumn="0" w:lastRowLastColumn="0"/>
              <w:rPr>
                <w:rFonts w:eastAsia="Times New Roman" w:cstheme="minorHAnsi"/>
                <w:bCs/>
                <w:kern w:val="0"/>
                <w14:ligatures w14:val="none"/>
              </w:rPr>
            </w:pPr>
            <w:r w:rsidRPr="00824EF4">
              <w:rPr>
                <w:rFonts w:eastAsia="Times New Roman" w:cstheme="minorHAnsi"/>
                <w:bCs/>
                <w:kern w:val="0"/>
                <w14:ligatures w14:val="none"/>
              </w:rPr>
              <w:t>0.7</w:t>
            </w:r>
          </w:p>
        </w:tc>
        <w:tc>
          <w:tcPr>
            <w:tcW w:w="2610" w:type="dxa"/>
          </w:tcPr>
          <w:p w14:paraId="108B083B" w14:textId="77777777" w:rsidR="00BA3FB2" w:rsidRPr="00824EF4" w:rsidRDefault="00BA3FB2" w:rsidP="00020AD2">
            <w:pPr>
              <w:spacing w:before="100" w:beforeAutospacing="1"/>
              <w:cnfStyle w:val="000000100000" w:firstRow="0" w:lastRow="0" w:firstColumn="0" w:lastColumn="0" w:oddVBand="0" w:evenVBand="0" w:oddHBand="1" w:evenHBand="0" w:firstRowFirstColumn="0" w:firstRowLastColumn="0" w:lastRowFirstColumn="0" w:lastRowLastColumn="0"/>
              <w:rPr>
                <w:rFonts w:eastAsia="Times New Roman" w:cstheme="minorHAnsi"/>
                <w:bCs/>
                <w:kern w:val="0"/>
                <w14:ligatures w14:val="none"/>
              </w:rPr>
            </w:pPr>
            <w:r w:rsidRPr="00824EF4">
              <w:rPr>
                <w:rFonts w:eastAsia="Times New Roman" w:cstheme="minorHAnsi"/>
                <w:bCs/>
                <w:kern w:val="0"/>
                <w14:ligatures w14:val="none"/>
              </w:rPr>
              <w:t>$69.34</w:t>
            </w:r>
          </w:p>
        </w:tc>
      </w:tr>
      <w:tr w:rsidR="00BA3FB2" w:rsidRPr="00BA3FB2" w14:paraId="40DFBDEE" w14:textId="77777777" w:rsidTr="00824EF4">
        <w:tc>
          <w:tcPr>
            <w:cnfStyle w:val="001000000000" w:firstRow="0" w:lastRow="0" w:firstColumn="1" w:lastColumn="0" w:oddVBand="0" w:evenVBand="0" w:oddHBand="0" w:evenHBand="0" w:firstRowFirstColumn="0" w:firstRowLastColumn="0" w:lastRowFirstColumn="0" w:lastRowLastColumn="0"/>
            <w:tcW w:w="2965" w:type="dxa"/>
            <w:tcBorders>
              <w:right w:val="none" w:sz="0" w:space="0" w:color="auto"/>
            </w:tcBorders>
          </w:tcPr>
          <w:p w14:paraId="405651E2" w14:textId="77777777" w:rsidR="00BA3FB2" w:rsidRPr="00824EF4" w:rsidRDefault="00BA3FB2" w:rsidP="00020AD2">
            <w:pPr>
              <w:spacing w:before="100" w:beforeAutospacing="1"/>
              <w:jc w:val="left"/>
              <w:rPr>
                <w:rFonts w:asciiTheme="minorHAnsi" w:eastAsia="Times New Roman" w:hAnsiTheme="minorHAnsi" w:cstheme="minorHAnsi"/>
                <w:bCs/>
                <w:i w:val="0"/>
                <w:iCs w:val="0"/>
                <w:kern w:val="0"/>
                <w:sz w:val="22"/>
                <w14:ligatures w14:val="none"/>
              </w:rPr>
            </w:pPr>
            <w:r w:rsidRPr="00824EF4">
              <w:rPr>
                <w:rFonts w:asciiTheme="minorHAnsi" w:eastAsia="Times New Roman" w:hAnsiTheme="minorHAnsi" w:cstheme="minorHAnsi"/>
                <w:bCs/>
                <w:i w:val="0"/>
                <w:iCs w:val="0"/>
                <w:kern w:val="0"/>
                <w:sz w:val="22"/>
                <w14:ligatures w14:val="none"/>
              </w:rPr>
              <w:t>Telephone E/M 11-20</w:t>
            </w:r>
          </w:p>
        </w:tc>
        <w:tc>
          <w:tcPr>
            <w:tcW w:w="1427" w:type="dxa"/>
          </w:tcPr>
          <w:p w14:paraId="4A90258A" w14:textId="77777777" w:rsidR="00BA3FB2" w:rsidRPr="00824EF4" w:rsidRDefault="00BA3FB2" w:rsidP="00020AD2">
            <w:pPr>
              <w:spacing w:before="100" w:beforeAutospacing="1"/>
              <w:cnfStyle w:val="000000000000" w:firstRow="0" w:lastRow="0" w:firstColumn="0" w:lastColumn="0" w:oddVBand="0" w:evenVBand="0" w:oddHBand="0" w:evenHBand="0" w:firstRowFirstColumn="0" w:firstRowLastColumn="0" w:lastRowFirstColumn="0" w:lastRowLastColumn="0"/>
              <w:rPr>
                <w:rFonts w:eastAsia="Times New Roman" w:cstheme="minorHAnsi"/>
                <w:bCs/>
                <w:kern w:val="0"/>
                <w14:ligatures w14:val="none"/>
              </w:rPr>
            </w:pPr>
            <w:r w:rsidRPr="00824EF4">
              <w:rPr>
                <w:rFonts w:eastAsia="Times New Roman" w:cstheme="minorHAnsi"/>
                <w:bCs/>
                <w:kern w:val="0"/>
                <w14:ligatures w14:val="none"/>
              </w:rPr>
              <w:t>99442</w:t>
            </w:r>
          </w:p>
        </w:tc>
        <w:tc>
          <w:tcPr>
            <w:tcW w:w="913" w:type="dxa"/>
          </w:tcPr>
          <w:p w14:paraId="16FD0231" w14:textId="77777777" w:rsidR="00BA3FB2" w:rsidRPr="00824EF4" w:rsidRDefault="00BA3FB2" w:rsidP="00020AD2">
            <w:pPr>
              <w:spacing w:before="100" w:beforeAutospacing="1"/>
              <w:cnfStyle w:val="000000000000" w:firstRow="0" w:lastRow="0" w:firstColumn="0" w:lastColumn="0" w:oddVBand="0" w:evenVBand="0" w:oddHBand="0" w:evenHBand="0" w:firstRowFirstColumn="0" w:firstRowLastColumn="0" w:lastRowFirstColumn="0" w:lastRowLastColumn="0"/>
              <w:rPr>
                <w:rFonts w:eastAsia="Times New Roman" w:cstheme="minorHAnsi"/>
                <w:bCs/>
                <w:kern w:val="0"/>
                <w14:ligatures w14:val="none"/>
              </w:rPr>
            </w:pPr>
            <w:r w:rsidRPr="00824EF4">
              <w:rPr>
                <w:rFonts w:eastAsia="Times New Roman" w:cstheme="minorHAnsi"/>
                <w:bCs/>
                <w:kern w:val="0"/>
                <w14:ligatures w14:val="none"/>
              </w:rPr>
              <w:t>1.3</w:t>
            </w:r>
          </w:p>
        </w:tc>
        <w:tc>
          <w:tcPr>
            <w:tcW w:w="2610" w:type="dxa"/>
          </w:tcPr>
          <w:p w14:paraId="0349CA3A" w14:textId="77777777" w:rsidR="00BA3FB2" w:rsidRPr="00824EF4" w:rsidRDefault="00BA3FB2" w:rsidP="00020AD2">
            <w:pPr>
              <w:spacing w:before="100" w:beforeAutospacing="1"/>
              <w:cnfStyle w:val="000000000000" w:firstRow="0" w:lastRow="0" w:firstColumn="0" w:lastColumn="0" w:oddVBand="0" w:evenVBand="0" w:oddHBand="0" w:evenHBand="0" w:firstRowFirstColumn="0" w:firstRowLastColumn="0" w:lastRowFirstColumn="0" w:lastRowLastColumn="0"/>
              <w:rPr>
                <w:rFonts w:eastAsia="Times New Roman" w:cstheme="minorHAnsi"/>
                <w:bCs/>
                <w:kern w:val="0"/>
                <w14:ligatures w14:val="none"/>
              </w:rPr>
            </w:pPr>
            <w:r w:rsidRPr="00824EF4">
              <w:rPr>
                <w:rFonts w:eastAsia="Times New Roman" w:cstheme="minorHAnsi"/>
                <w:bCs/>
                <w:kern w:val="0"/>
                <w14:ligatures w14:val="none"/>
              </w:rPr>
              <w:t>$109.42</w:t>
            </w:r>
          </w:p>
        </w:tc>
      </w:tr>
      <w:tr w:rsidR="00BA3FB2" w:rsidRPr="00BA3FB2" w14:paraId="3011B4A0" w14:textId="77777777" w:rsidTr="00824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Borders>
              <w:right w:val="none" w:sz="0" w:space="0" w:color="auto"/>
            </w:tcBorders>
          </w:tcPr>
          <w:p w14:paraId="62862967" w14:textId="77777777" w:rsidR="00BA3FB2" w:rsidRPr="00824EF4" w:rsidRDefault="00BA3FB2" w:rsidP="00020AD2">
            <w:pPr>
              <w:spacing w:before="100" w:beforeAutospacing="1"/>
              <w:jc w:val="left"/>
              <w:rPr>
                <w:rFonts w:asciiTheme="minorHAnsi" w:eastAsia="Times New Roman" w:hAnsiTheme="minorHAnsi" w:cstheme="minorHAnsi"/>
                <w:bCs/>
                <w:i w:val="0"/>
                <w:iCs w:val="0"/>
                <w:kern w:val="0"/>
                <w:sz w:val="22"/>
                <w14:ligatures w14:val="none"/>
              </w:rPr>
            </w:pPr>
            <w:r w:rsidRPr="00824EF4">
              <w:rPr>
                <w:rFonts w:asciiTheme="minorHAnsi" w:eastAsia="Times New Roman" w:hAnsiTheme="minorHAnsi" w:cstheme="minorHAnsi"/>
                <w:bCs/>
                <w:i w:val="0"/>
                <w:iCs w:val="0"/>
                <w:kern w:val="0"/>
                <w:sz w:val="22"/>
                <w14:ligatures w14:val="none"/>
              </w:rPr>
              <w:t>Video Telehealth</w:t>
            </w:r>
          </w:p>
        </w:tc>
        <w:tc>
          <w:tcPr>
            <w:tcW w:w="1427" w:type="dxa"/>
          </w:tcPr>
          <w:p w14:paraId="4FEF525F" w14:textId="77777777" w:rsidR="00BA3FB2" w:rsidRPr="00824EF4" w:rsidRDefault="00BA3FB2" w:rsidP="00020AD2">
            <w:pPr>
              <w:spacing w:before="100" w:beforeAutospacing="1"/>
              <w:cnfStyle w:val="000000100000" w:firstRow="0" w:lastRow="0" w:firstColumn="0" w:lastColumn="0" w:oddVBand="0" w:evenVBand="0" w:oddHBand="1" w:evenHBand="0" w:firstRowFirstColumn="0" w:firstRowLastColumn="0" w:lastRowFirstColumn="0" w:lastRowLastColumn="0"/>
              <w:rPr>
                <w:rFonts w:eastAsia="Times New Roman" w:cstheme="minorHAnsi"/>
                <w:bCs/>
                <w:kern w:val="0"/>
                <w14:ligatures w14:val="none"/>
              </w:rPr>
            </w:pPr>
            <w:r w:rsidRPr="00824EF4">
              <w:rPr>
                <w:rFonts w:eastAsia="Times New Roman" w:cstheme="minorHAnsi"/>
                <w:bCs/>
                <w:kern w:val="0"/>
                <w14:ligatures w14:val="none"/>
              </w:rPr>
              <w:t>99213</w:t>
            </w:r>
          </w:p>
        </w:tc>
        <w:tc>
          <w:tcPr>
            <w:tcW w:w="913" w:type="dxa"/>
          </w:tcPr>
          <w:p w14:paraId="2B37ED51" w14:textId="77777777" w:rsidR="00BA3FB2" w:rsidRPr="00824EF4" w:rsidRDefault="00BA3FB2" w:rsidP="00020AD2">
            <w:pPr>
              <w:spacing w:before="100" w:beforeAutospacing="1"/>
              <w:cnfStyle w:val="000000100000" w:firstRow="0" w:lastRow="0" w:firstColumn="0" w:lastColumn="0" w:oddVBand="0" w:evenVBand="0" w:oddHBand="1" w:evenHBand="0" w:firstRowFirstColumn="0" w:firstRowLastColumn="0" w:lastRowFirstColumn="0" w:lastRowLastColumn="0"/>
              <w:rPr>
                <w:rFonts w:eastAsia="Times New Roman" w:cstheme="minorHAnsi"/>
                <w:bCs/>
                <w:kern w:val="0"/>
                <w14:ligatures w14:val="none"/>
              </w:rPr>
            </w:pPr>
            <w:r w:rsidRPr="00824EF4">
              <w:rPr>
                <w:rFonts w:eastAsia="Times New Roman" w:cstheme="minorHAnsi"/>
                <w:bCs/>
                <w:kern w:val="0"/>
                <w14:ligatures w14:val="none"/>
              </w:rPr>
              <w:t>1.3</w:t>
            </w:r>
          </w:p>
        </w:tc>
        <w:tc>
          <w:tcPr>
            <w:tcW w:w="2610" w:type="dxa"/>
          </w:tcPr>
          <w:p w14:paraId="1B97F7FF" w14:textId="77777777" w:rsidR="00BA3FB2" w:rsidRPr="00824EF4" w:rsidRDefault="00BA3FB2" w:rsidP="00020AD2">
            <w:pPr>
              <w:spacing w:before="100" w:beforeAutospacing="1"/>
              <w:cnfStyle w:val="000000100000" w:firstRow="0" w:lastRow="0" w:firstColumn="0" w:lastColumn="0" w:oddVBand="0" w:evenVBand="0" w:oddHBand="1" w:evenHBand="0" w:firstRowFirstColumn="0" w:firstRowLastColumn="0" w:lastRowFirstColumn="0" w:lastRowLastColumn="0"/>
              <w:rPr>
                <w:rFonts w:eastAsia="Times New Roman" w:cstheme="minorHAnsi"/>
                <w:bCs/>
                <w:kern w:val="0"/>
                <w14:ligatures w14:val="none"/>
              </w:rPr>
            </w:pPr>
            <w:r w:rsidRPr="00824EF4">
              <w:rPr>
                <w:rFonts w:eastAsia="Times New Roman" w:cstheme="minorHAnsi"/>
                <w:bCs/>
                <w:kern w:val="0"/>
                <w14:ligatures w14:val="none"/>
              </w:rPr>
              <w:t>$109.75</w:t>
            </w:r>
          </w:p>
        </w:tc>
      </w:tr>
    </w:tbl>
    <w:p w14:paraId="6E413B94" w14:textId="77777777" w:rsidR="009919C2" w:rsidRDefault="009919C2" w:rsidP="4E03744C">
      <w:pPr>
        <w:spacing w:before="100" w:beforeAutospacing="1" w:after="0" w:line="240" w:lineRule="auto"/>
        <w:rPr>
          <w:rFonts w:ascii="Times New Roman" w:eastAsia="Times New Roman" w:hAnsi="Times New Roman" w:cs="Times New Roman"/>
          <w:b/>
          <w:bCs/>
          <w:color w:val="4472C4" w:themeColor="accent1"/>
          <w:kern w:val="0"/>
          <w:sz w:val="18"/>
          <w:szCs w:val="18"/>
          <w14:ligatures w14:val="none"/>
        </w:rPr>
      </w:pPr>
    </w:p>
    <w:p w14:paraId="6A4337BE" w14:textId="77777777" w:rsidR="009919C2" w:rsidRDefault="009919C2" w:rsidP="4E03744C">
      <w:pPr>
        <w:spacing w:before="100" w:beforeAutospacing="1" w:after="0" w:line="240" w:lineRule="auto"/>
        <w:rPr>
          <w:rFonts w:ascii="Times New Roman" w:eastAsia="Times New Roman" w:hAnsi="Times New Roman" w:cs="Times New Roman"/>
          <w:b/>
          <w:bCs/>
          <w:color w:val="4472C4" w:themeColor="accent1"/>
          <w:kern w:val="0"/>
          <w:sz w:val="18"/>
          <w:szCs w:val="18"/>
          <w14:ligatures w14:val="none"/>
        </w:rPr>
      </w:pPr>
    </w:p>
    <w:p w14:paraId="3794D138" w14:textId="77777777" w:rsidR="009919C2" w:rsidRDefault="009919C2" w:rsidP="4E03744C">
      <w:pPr>
        <w:spacing w:before="100" w:beforeAutospacing="1" w:after="0" w:line="240" w:lineRule="auto"/>
        <w:rPr>
          <w:rFonts w:ascii="Times New Roman" w:eastAsia="Times New Roman" w:hAnsi="Times New Roman" w:cs="Times New Roman"/>
          <w:b/>
          <w:bCs/>
          <w:color w:val="4472C4" w:themeColor="accent1"/>
          <w:kern w:val="0"/>
          <w:sz w:val="18"/>
          <w:szCs w:val="18"/>
          <w14:ligatures w14:val="none"/>
        </w:rPr>
      </w:pPr>
    </w:p>
    <w:p w14:paraId="56B82D8F" w14:textId="77777777" w:rsidR="00761774" w:rsidRDefault="00761774" w:rsidP="00560360">
      <w:pPr>
        <w:spacing w:after="0" w:line="240" w:lineRule="auto"/>
        <w:rPr>
          <w:rFonts w:ascii="Times New Roman" w:eastAsia="Times New Roman" w:hAnsi="Times New Roman" w:cs="Times New Roman"/>
          <w:b/>
          <w:bCs/>
          <w:color w:val="4472C4" w:themeColor="accent1"/>
          <w:kern w:val="0"/>
          <w:sz w:val="18"/>
          <w:szCs w:val="18"/>
          <w14:ligatures w14:val="none"/>
        </w:rPr>
      </w:pPr>
    </w:p>
    <w:p w14:paraId="099F5A99" w14:textId="77777777" w:rsidR="002E4984" w:rsidRDefault="002E4984" w:rsidP="4E03744C">
      <w:pPr>
        <w:spacing w:after="0" w:line="240" w:lineRule="auto"/>
        <w:rPr>
          <w:rFonts w:eastAsia="Times New Roman" w:cstheme="minorHAnsi"/>
          <w:kern w:val="0"/>
          <w14:ligatures w14:val="none"/>
        </w:rPr>
      </w:pPr>
    </w:p>
    <w:p w14:paraId="423655B2" w14:textId="77777777" w:rsidR="002E4984" w:rsidRDefault="002E4984" w:rsidP="4E03744C">
      <w:pPr>
        <w:spacing w:after="0" w:line="240" w:lineRule="auto"/>
        <w:rPr>
          <w:rFonts w:eastAsia="Times New Roman" w:cstheme="minorHAnsi"/>
          <w:kern w:val="0"/>
          <w14:ligatures w14:val="none"/>
        </w:rPr>
      </w:pPr>
    </w:p>
    <w:p w14:paraId="395BAE48" w14:textId="7D3523FF" w:rsidR="4E03744C" w:rsidRPr="00A53805" w:rsidRDefault="00BA3FB2" w:rsidP="4E03744C">
      <w:pPr>
        <w:spacing w:after="0" w:line="240" w:lineRule="auto"/>
        <w:rPr>
          <w:rFonts w:eastAsia="Times New Roman" w:cstheme="minorHAnsi"/>
          <w:kern w:val="0"/>
          <w14:ligatures w14:val="none"/>
        </w:rPr>
      </w:pPr>
      <w:r w:rsidRPr="00A53805">
        <w:rPr>
          <w:rFonts w:eastAsia="Times New Roman" w:cstheme="minorHAnsi"/>
          <w:kern w:val="0"/>
          <w14:ligatures w14:val="none"/>
        </w:rPr>
        <w:t xml:space="preserve">Table 1: </w:t>
      </w:r>
      <w:proofErr w:type="spellStart"/>
      <w:r w:rsidRPr="00A53805">
        <w:rPr>
          <w:rFonts w:eastAsia="Times New Roman" w:cstheme="minorHAnsi"/>
          <w:kern w:val="0"/>
          <w14:ligatures w14:val="none"/>
        </w:rPr>
        <w:t>wRVU</w:t>
      </w:r>
      <w:proofErr w:type="spellEnd"/>
      <w:r w:rsidRPr="00A53805">
        <w:rPr>
          <w:rFonts w:eastAsia="Times New Roman" w:cstheme="minorHAnsi"/>
          <w:kern w:val="0"/>
          <w14:ligatures w14:val="none"/>
        </w:rPr>
        <w:t xml:space="preserve"> distribution w</w:t>
      </w:r>
      <w:r w:rsidR="00E21E47">
        <w:rPr>
          <w:rFonts w:eastAsia="Times New Roman" w:cstheme="minorHAnsi"/>
          <w:kern w:val="0"/>
          <w14:ligatures w14:val="none"/>
        </w:rPr>
        <w:t>ith</w:t>
      </w:r>
      <w:r w:rsidRPr="00A53805">
        <w:rPr>
          <w:rFonts w:eastAsia="Times New Roman" w:cstheme="minorHAnsi"/>
          <w:kern w:val="0"/>
          <w14:ligatures w14:val="none"/>
        </w:rPr>
        <w:t xml:space="preserve"> associated</w:t>
      </w:r>
      <w:r w:rsidR="00E21E47">
        <w:rPr>
          <w:rFonts w:eastAsia="Times New Roman" w:cstheme="minorHAnsi"/>
          <w:kern w:val="0"/>
          <w14:ligatures w14:val="none"/>
        </w:rPr>
        <w:t xml:space="preserve"> Medicare</w:t>
      </w:r>
      <w:r w:rsidRPr="00A53805">
        <w:rPr>
          <w:rFonts w:eastAsia="Times New Roman" w:cstheme="minorHAnsi"/>
          <w:kern w:val="0"/>
          <w14:ligatures w14:val="none"/>
        </w:rPr>
        <w:t xml:space="preserve"> reimbursement </w:t>
      </w:r>
      <w:r w:rsidR="00153454">
        <w:rPr>
          <w:rFonts w:eastAsia="Times New Roman" w:cstheme="minorHAnsi"/>
          <w:kern w:val="0"/>
          <w14:ligatures w14:val="none"/>
        </w:rPr>
        <w:t xml:space="preserve">with corresponding level of service (LOS). Visits that are </w:t>
      </w:r>
      <w:r w:rsidR="00474576">
        <w:rPr>
          <w:rFonts w:eastAsia="Times New Roman" w:cstheme="minorHAnsi"/>
          <w:kern w:val="0"/>
          <w14:ligatures w14:val="none"/>
        </w:rPr>
        <w:t xml:space="preserve">being diverted to Express Care typically </w:t>
      </w:r>
      <w:r w:rsidR="00594835">
        <w:rPr>
          <w:rFonts w:eastAsia="Times New Roman" w:cstheme="minorHAnsi"/>
          <w:kern w:val="0"/>
          <w14:ligatures w14:val="none"/>
        </w:rPr>
        <w:t xml:space="preserve">are either not </w:t>
      </w:r>
      <w:proofErr w:type="gramStart"/>
      <w:r w:rsidR="00594835">
        <w:rPr>
          <w:rFonts w:eastAsia="Times New Roman" w:cstheme="minorHAnsi"/>
          <w:kern w:val="0"/>
          <w14:ligatures w14:val="none"/>
        </w:rPr>
        <w:t>billed, or</w:t>
      </w:r>
      <w:proofErr w:type="gramEnd"/>
      <w:r w:rsidR="00594835">
        <w:rPr>
          <w:rFonts w:eastAsia="Times New Roman" w:cstheme="minorHAnsi"/>
          <w:kern w:val="0"/>
          <w14:ligatures w14:val="none"/>
        </w:rPr>
        <w:t xml:space="preserve"> billed as </w:t>
      </w:r>
      <w:proofErr w:type="spellStart"/>
      <w:r w:rsidR="00594835">
        <w:rPr>
          <w:rFonts w:eastAsia="Times New Roman" w:cstheme="minorHAnsi"/>
          <w:kern w:val="0"/>
          <w14:ligatures w14:val="none"/>
        </w:rPr>
        <w:t>eVisits</w:t>
      </w:r>
      <w:proofErr w:type="spellEnd"/>
      <w:r w:rsidR="00594835">
        <w:rPr>
          <w:rFonts w:eastAsia="Times New Roman" w:cstheme="minorHAnsi"/>
          <w:kern w:val="0"/>
          <w14:ligatures w14:val="none"/>
        </w:rPr>
        <w:t xml:space="preserve"> (digital E/M</w:t>
      </w:r>
      <w:r w:rsidR="00967315">
        <w:rPr>
          <w:rFonts w:eastAsia="Times New Roman" w:cstheme="minorHAnsi"/>
          <w:kern w:val="0"/>
          <w14:ligatures w14:val="none"/>
        </w:rPr>
        <w:t>)</w:t>
      </w:r>
      <w:r w:rsidR="00AB30D9">
        <w:rPr>
          <w:rFonts w:eastAsia="Times New Roman" w:cstheme="minorHAnsi"/>
          <w:kern w:val="0"/>
          <w14:ligatures w14:val="none"/>
        </w:rPr>
        <w:t>. Video Telehealth, which is typically billed for Express Care is significantly higher.</w:t>
      </w:r>
    </w:p>
    <w:p w14:paraId="27DC8F81" w14:textId="77777777" w:rsidR="00463910" w:rsidRDefault="00463910" w:rsidP="4E03744C">
      <w:pPr>
        <w:spacing w:beforeAutospacing="1" w:after="0" w:line="240" w:lineRule="auto"/>
        <w:rPr>
          <w:rFonts w:ascii="Times New Roman" w:eastAsia="Times New Roman" w:hAnsi="Times New Roman" w:cs="Times New Roman"/>
          <w:b/>
          <w:bCs/>
          <w:color w:val="4472C4" w:themeColor="accent1"/>
          <w:sz w:val="18"/>
          <w:szCs w:val="18"/>
        </w:rPr>
      </w:pPr>
    </w:p>
    <w:p w14:paraId="0F0CEC55" w14:textId="77777777" w:rsidR="00463910" w:rsidRDefault="00463910" w:rsidP="4E03744C">
      <w:pPr>
        <w:spacing w:beforeAutospacing="1" w:after="0" w:line="240" w:lineRule="auto"/>
        <w:rPr>
          <w:rFonts w:ascii="Times New Roman" w:eastAsia="Times New Roman" w:hAnsi="Times New Roman" w:cs="Times New Roman"/>
          <w:b/>
          <w:bCs/>
          <w:color w:val="4472C4" w:themeColor="accent1"/>
          <w:sz w:val="18"/>
          <w:szCs w:val="18"/>
        </w:rPr>
      </w:pPr>
    </w:p>
    <w:p w14:paraId="1EF52C08" w14:textId="704189A3" w:rsidR="00BA3FB2" w:rsidRDefault="00BA3FB2" w:rsidP="00020AD2">
      <w:pPr>
        <w:spacing w:after="0"/>
      </w:pPr>
      <w:r>
        <w:rPr>
          <w:noProof/>
        </w:rPr>
        <w:drawing>
          <wp:inline distT="0" distB="0" distL="0" distR="0" wp14:anchorId="1D4A266F" wp14:editId="13A63E5F">
            <wp:extent cx="5925820" cy="2323214"/>
            <wp:effectExtent l="0" t="0" r="17780" b="1270"/>
            <wp:docPr id="902092740" name="Chart 1">
              <a:extLst xmlns:a="http://schemas.openxmlformats.org/drawingml/2006/main">
                <a:ext uri="{FF2B5EF4-FFF2-40B4-BE49-F238E27FC236}">
                  <a16:creationId xmlns:a16="http://schemas.microsoft.com/office/drawing/2014/main" id="{B06CC39B-278D-5DA3-88DE-C3533D8388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A847CA0" w14:textId="035200B1" w:rsidR="00BA3FB2" w:rsidRPr="00A53805" w:rsidRDefault="008C0A5D" w:rsidP="00020AD2">
      <w:pPr>
        <w:spacing w:after="0"/>
      </w:pPr>
      <w:r w:rsidRPr="00A53805">
        <w:t xml:space="preserve">Figure 2: </w:t>
      </w:r>
      <w:r w:rsidR="00934332" w:rsidRPr="00A53805">
        <w:t xml:space="preserve">Race/Ethnicity </w:t>
      </w:r>
      <w:r w:rsidR="0030671F" w:rsidRPr="00A53805">
        <w:t>patient distribution</w:t>
      </w:r>
      <w:r w:rsidR="00824EF4">
        <w:t xml:space="preserve"> of patients utilizing Express Care during </w:t>
      </w:r>
      <w:r w:rsidR="00920D0C">
        <w:t>the pilot phase. This</w:t>
      </w:r>
      <w:r w:rsidR="00AB30D9">
        <w:t xml:space="preserve"> distribution is not aligned with </w:t>
      </w:r>
      <w:r w:rsidR="00161A14">
        <w:t>demographics at the pilot practices</w:t>
      </w:r>
      <w:r w:rsidR="003D59F6">
        <w:t xml:space="preserve"> –</w:t>
      </w:r>
      <w:r w:rsidR="000C07BD">
        <w:t xml:space="preserve"> </w:t>
      </w:r>
      <w:r w:rsidR="006A02A2">
        <w:t>White</w:t>
      </w:r>
      <w:r w:rsidR="00E63482">
        <w:t xml:space="preserve">-identifying </w:t>
      </w:r>
      <w:r w:rsidR="006A02A2">
        <w:t>patients</w:t>
      </w:r>
      <w:r w:rsidR="000C07BD">
        <w:t xml:space="preserve"> are over-represented, as they comprise 37.5% </w:t>
      </w:r>
      <w:r w:rsidR="00E63482">
        <w:t>of patients in the pilot clinics.</w:t>
      </w:r>
    </w:p>
    <w:p w14:paraId="29624578" w14:textId="77777777" w:rsidR="004817E0" w:rsidRDefault="004817E0" w:rsidP="00020AD2">
      <w:pPr>
        <w:spacing w:after="0"/>
      </w:pPr>
    </w:p>
    <w:p w14:paraId="23594535" w14:textId="32C0CDA2" w:rsidR="00BA3FB2" w:rsidRDefault="00BA3FB2" w:rsidP="00020AD2">
      <w:pPr>
        <w:spacing w:after="0"/>
      </w:pPr>
      <w:r>
        <w:rPr>
          <w:noProof/>
        </w:rPr>
        <w:lastRenderedPageBreak/>
        <w:drawing>
          <wp:inline distT="0" distB="0" distL="0" distR="0" wp14:anchorId="299D8F5A" wp14:editId="79C41F7C">
            <wp:extent cx="5943600" cy="2238153"/>
            <wp:effectExtent l="0" t="0" r="0" b="10160"/>
            <wp:docPr id="335535667" name="Chart 1">
              <a:extLst xmlns:a="http://schemas.openxmlformats.org/drawingml/2006/main">
                <a:ext uri="{FF2B5EF4-FFF2-40B4-BE49-F238E27FC236}">
                  <a16:creationId xmlns:a16="http://schemas.microsoft.com/office/drawing/2014/main" id="{B92657CC-C148-8F82-DFDC-1FAA25C3A0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A0CA15F" w14:textId="65DD876D" w:rsidR="00166481" w:rsidRDefault="008C0A5D" w:rsidP="00020AD2">
      <w:pPr>
        <w:spacing w:after="0"/>
      </w:pPr>
      <w:r w:rsidRPr="00A53805">
        <w:t xml:space="preserve">Figure 3: </w:t>
      </w:r>
      <w:r w:rsidR="000D0D08" w:rsidRPr="00A53805">
        <w:t>Language patient distribution</w:t>
      </w:r>
      <w:r w:rsidR="00AA3C0C">
        <w:t xml:space="preserve"> of patients utilizing Express Care during the pilot phase. Patients are </w:t>
      </w:r>
      <w:r w:rsidR="00843302">
        <w:t xml:space="preserve">almost exclusively English-speaking, showing a </w:t>
      </w:r>
      <w:r w:rsidR="009B6CBA">
        <w:t>disparity for patients with Limited English Proficiency (LEP).</w:t>
      </w:r>
    </w:p>
    <w:p w14:paraId="0C11D7EE" w14:textId="77777777" w:rsidR="009B6CBA" w:rsidRDefault="009B6CBA" w:rsidP="00020AD2">
      <w:pPr>
        <w:spacing w:after="0"/>
      </w:pPr>
    </w:p>
    <w:p w14:paraId="38645FD3" w14:textId="77777777" w:rsidR="009B6CBA" w:rsidRDefault="009B6CBA" w:rsidP="00020AD2">
      <w:pPr>
        <w:spacing w:after="0"/>
      </w:pPr>
    </w:p>
    <w:p w14:paraId="10DB37FA" w14:textId="77777777" w:rsidR="00463910" w:rsidRDefault="00463910" w:rsidP="00020AD2">
      <w:pPr>
        <w:spacing w:after="0"/>
      </w:pPr>
    </w:p>
    <w:p w14:paraId="0A4C9189" w14:textId="77777777" w:rsidR="00463910" w:rsidRPr="00A53805" w:rsidRDefault="00463910" w:rsidP="00020AD2">
      <w:pPr>
        <w:spacing w:after="0"/>
      </w:pPr>
    </w:p>
    <w:p w14:paraId="36F40D2B" w14:textId="4BA9EA29" w:rsidR="00166481" w:rsidRDefault="00166481" w:rsidP="00020AD2">
      <w:pPr>
        <w:spacing w:after="0"/>
      </w:pPr>
      <w:r>
        <w:rPr>
          <w:noProof/>
        </w:rPr>
        <w:drawing>
          <wp:inline distT="0" distB="0" distL="0" distR="0" wp14:anchorId="508901EF" wp14:editId="3DCEC145">
            <wp:extent cx="6832275" cy="3971260"/>
            <wp:effectExtent l="0" t="0" r="6985" b="0"/>
            <wp:docPr id="1674769590" name="Picture 1674769590"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769590" name="Picture 1674769590" descr="A diagram of a company&#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868358" cy="3992233"/>
                    </a:xfrm>
                    <a:prstGeom prst="rect">
                      <a:avLst/>
                    </a:prstGeom>
                  </pic:spPr>
                </pic:pic>
              </a:graphicData>
            </a:graphic>
          </wp:inline>
        </w:drawing>
      </w:r>
    </w:p>
    <w:p w14:paraId="3C696982" w14:textId="51AA5F0D" w:rsidR="00166481" w:rsidRPr="00A53805" w:rsidRDefault="00166481" w:rsidP="00020AD2">
      <w:pPr>
        <w:spacing w:after="0"/>
      </w:pPr>
      <w:r w:rsidRPr="00A53805">
        <w:t xml:space="preserve">Figure 4. Fishbone analysis for </w:t>
      </w:r>
      <w:r w:rsidR="00480E7A" w:rsidRPr="00A53805">
        <w:t>gaps to expansion of Express Care</w:t>
      </w:r>
      <w:r w:rsidR="00937458">
        <w:t xml:space="preserve">. </w:t>
      </w:r>
      <w:r w:rsidR="005F4C6E">
        <w:t xml:space="preserve">Many of the gaps identified are associated with </w:t>
      </w:r>
      <w:r w:rsidR="0064192E">
        <w:t xml:space="preserve">technological gaps and </w:t>
      </w:r>
      <w:r w:rsidR="00463910">
        <w:t>materials for patients and staff resources.</w:t>
      </w:r>
    </w:p>
    <w:p w14:paraId="0056E754" w14:textId="77777777" w:rsidR="00BA3FB2" w:rsidRDefault="00BA3FB2" w:rsidP="00020AD2">
      <w:pPr>
        <w:spacing w:after="0"/>
      </w:pPr>
    </w:p>
    <w:p w14:paraId="3718F0E7" w14:textId="77777777" w:rsidR="00463910" w:rsidRDefault="00463910" w:rsidP="00020AD2">
      <w:pPr>
        <w:spacing w:after="0"/>
      </w:pPr>
    </w:p>
    <w:p w14:paraId="3956054D" w14:textId="77777777" w:rsidR="00463910" w:rsidRDefault="00463910" w:rsidP="00020AD2">
      <w:pPr>
        <w:spacing w:after="0"/>
      </w:pPr>
    </w:p>
    <w:p w14:paraId="72E01ED6" w14:textId="77777777" w:rsidR="002B412A" w:rsidRDefault="002B412A" w:rsidP="00020AD2">
      <w:pPr>
        <w:spacing w:after="0"/>
      </w:pPr>
    </w:p>
    <w:p w14:paraId="363C44C4" w14:textId="77777777" w:rsidR="002B412A" w:rsidRDefault="002B412A" w:rsidP="00020AD2">
      <w:pPr>
        <w:spacing w:after="0"/>
      </w:pPr>
    </w:p>
    <w:p w14:paraId="55DD7E39" w14:textId="77777777" w:rsidR="00463910" w:rsidRDefault="00463910" w:rsidP="00020AD2">
      <w:pPr>
        <w:spacing w:after="0"/>
      </w:pPr>
    </w:p>
    <w:tbl>
      <w:tblPr>
        <w:tblStyle w:val="TableGrid"/>
        <w:tblW w:w="0" w:type="auto"/>
        <w:tblLook w:val="04A0" w:firstRow="1" w:lastRow="0" w:firstColumn="1" w:lastColumn="0" w:noHBand="0" w:noVBand="1"/>
      </w:tblPr>
      <w:tblGrid>
        <w:gridCol w:w="1255"/>
        <w:gridCol w:w="1620"/>
        <w:gridCol w:w="1710"/>
        <w:gridCol w:w="6120"/>
      </w:tblGrid>
      <w:tr w:rsidR="00BA3FB2" w14:paraId="7612C892" w14:textId="77777777" w:rsidTr="00515782">
        <w:tc>
          <w:tcPr>
            <w:tcW w:w="1255" w:type="dxa"/>
          </w:tcPr>
          <w:p w14:paraId="2AB999D7" w14:textId="77777777" w:rsidR="00BA3FB2" w:rsidRPr="00463910" w:rsidRDefault="00BA3FB2" w:rsidP="00020AD2">
            <w:pPr>
              <w:spacing w:before="100" w:beforeAutospacing="1"/>
              <w:rPr>
                <w:rFonts w:eastAsia="Times New Roman" w:cstheme="minorHAnsi"/>
                <w:b/>
                <w:kern w:val="0"/>
                <w14:ligatures w14:val="none"/>
              </w:rPr>
            </w:pPr>
            <w:r w:rsidRPr="00463910">
              <w:rPr>
                <w:rFonts w:eastAsia="Times New Roman" w:cstheme="minorHAnsi"/>
                <w:b/>
                <w:kern w:val="0"/>
                <w14:ligatures w14:val="none"/>
              </w:rPr>
              <w:lastRenderedPageBreak/>
              <w:t>ROI Type</w:t>
            </w:r>
          </w:p>
        </w:tc>
        <w:tc>
          <w:tcPr>
            <w:tcW w:w="1620" w:type="dxa"/>
          </w:tcPr>
          <w:p w14:paraId="2D4F8D2C" w14:textId="77777777" w:rsidR="00BA3FB2" w:rsidRPr="00463910" w:rsidRDefault="00BA3FB2" w:rsidP="00020AD2">
            <w:pPr>
              <w:spacing w:before="100" w:beforeAutospacing="1"/>
              <w:rPr>
                <w:rFonts w:eastAsia="Times New Roman" w:cstheme="minorHAnsi"/>
                <w:b/>
                <w:kern w:val="0"/>
                <w14:ligatures w14:val="none"/>
              </w:rPr>
            </w:pPr>
            <w:r w:rsidRPr="00463910">
              <w:rPr>
                <w:rFonts w:eastAsia="Times New Roman" w:cstheme="minorHAnsi"/>
                <w:b/>
                <w:kern w:val="0"/>
                <w14:ligatures w14:val="none"/>
              </w:rPr>
              <w:t>Savings / Revenue FY 25</w:t>
            </w:r>
          </w:p>
        </w:tc>
        <w:tc>
          <w:tcPr>
            <w:tcW w:w="1710" w:type="dxa"/>
          </w:tcPr>
          <w:p w14:paraId="5FE79013" w14:textId="77777777" w:rsidR="00BA3FB2" w:rsidRPr="00463910" w:rsidRDefault="00BA3FB2" w:rsidP="00020AD2">
            <w:pPr>
              <w:spacing w:before="100" w:beforeAutospacing="1"/>
              <w:rPr>
                <w:rFonts w:eastAsia="Times New Roman" w:cstheme="minorHAnsi"/>
                <w:b/>
                <w:kern w:val="0"/>
                <w14:ligatures w14:val="none"/>
              </w:rPr>
            </w:pPr>
            <w:r w:rsidRPr="00463910">
              <w:rPr>
                <w:rFonts w:eastAsia="Times New Roman" w:cstheme="minorHAnsi"/>
                <w:b/>
                <w:kern w:val="0"/>
                <w14:ligatures w14:val="none"/>
              </w:rPr>
              <w:t>Savings / Revenue FY 26</w:t>
            </w:r>
          </w:p>
        </w:tc>
        <w:tc>
          <w:tcPr>
            <w:tcW w:w="6120" w:type="dxa"/>
          </w:tcPr>
          <w:p w14:paraId="518F007E" w14:textId="77777777" w:rsidR="00BA3FB2" w:rsidRPr="00463910" w:rsidRDefault="00BA3FB2" w:rsidP="00020AD2">
            <w:pPr>
              <w:spacing w:before="100" w:beforeAutospacing="1"/>
              <w:rPr>
                <w:rFonts w:eastAsia="Times New Roman" w:cstheme="minorHAnsi"/>
                <w:b/>
                <w:kern w:val="0"/>
                <w14:ligatures w14:val="none"/>
              </w:rPr>
            </w:pPr>
            <w:r w:rsidRPr="00463910">
              <w:rPr>
                <w:rFonts w:eastAsia="Times New Roman" w:cstheme="minorHAnsi"/>
                <w:b/>
                <w:kern w:val="0"/>
                <w14:ligatures w14:val="none"/>
              </w:rPr>
              <w:t>Notes</w:t>
            </w:r>
          </w:p>
        </w:tc>
      </w:tr>
      <w:tr w:rsidR="00BA3FB2" w14:paraId="10DB7E3D" w14:textId="77777777" w:rsidTr="00515782">
        <w:tc>
          <w:tcPr>
            <w:tcW w:w="1255" w:type="dxa"/>
          </w:tcPr>
          <w:p w14:paraId="49A59155" w14:textId="13C08731" w:rsidR="00BA3FB2" w:rsidRPr="00463910" w:rsidRDefault="001B5F6D" w:rsidP="00020AD2">
            <w:pPr>
              <w:spacing w:before="100" w:beforeAutospacing="1"/>
              <w:rPr>
                <w:rFonts w:eastAsia="Times New Roman" w:cstheme="minorHAnsi"/>
                <w:kern w:val="0"/>
                <w14:ligatures w14:val="none"/>
              </w:rPr>
            </w:pPr>
            <w:r w:rsidRPr="00463910">
              <w:rPr>
                <w:rFonts w:eastAsia="Times New Roman" w:cstheme="minorHAnsi"/>
                <w:kern w:val="0"/>
                <w14:ligatures w14:val="none"/>
              </w:rPr>
              <w:t xml:space="preserve">Space </w:t>
            </w:r>
            <w:r w:rsidR="00BA3FB2" w:rsidRPr="00463910">
              <w:rPr>
                <w:rFonts w:eastAsia="Times New Roman" w:cstheme="minorHAnsi"/>
                <w:kern w:val="0"/>
                <w14:ligatures w14:val="none"/>
              </w:rPr>
              <w:t>Recharge</w:t>
            </w:r>
          </w:p>
        </w:tc>
        <w:tc>
          <w:tcPr>
            <w:tcW w:w="1620" w:type="dxa"/>
          </w:tcPr>
          <w:p w14:paraId="6FC5534D" w14:textId="045D8F3A" w:rsidR="00BA3FB2" w:rsidRPr="00463910" w:rsidRDefault="00AA296E" w:rsidP="00020AD2">
            <w:pPr>
              <w:spacing w:before="100" w:beforeAutospacing="1"/>
              <w:rPr>
                <w:rFonts w:eastAsia="Times New Roman" w:cstheme="minorHAnsi"/>
                <w:kern w:val="0"/>
                <w14:ligatures w14:val="none"/>
              </w:rPr>
            </w:pPr>
            <w:r>
              <w:rPr>
                <w:rFonts w:eastAsia="Times New Roman" w:cstheme="minorHAnsi"/>
                <w:kern w:val="0"/>
                <w14:ligatures w14:val="none"/>
              </w:rPr>
              <w:t>$</w:t>
            </w:r>
            <w:r w:rsidR="00BA3FB2" w:rsidRPr="00463910">
              <w:rPr>
                <w:rFonts w:eastAsia="Times New Roman" w:cstheme="minorHAnsi"/>
                <w:kern w:val="0"/>
                <w14:ligatures w14:val="none"/>
              </w:rPr>
              <w:t>31,132.80</w:t>
            </w:r>
          </w:p>
        </w:tc>
        <w:tc>
          <w:tcPr>
            <w:tcW w:w="1710" w:type="dxa"/>
          </w:tcPr>
          <w:p w14:paraId="0019A09F" w14:textId="144C5933" w:rsidR="00BA3FB2" w:rsidRPr="00463910" w:rsidRDefault="00AA296E" w:rsidP="00020AD2">
            <w:pPr>
              <w:spacing w:before="100" w:beforeAutospacing="1"/>
              <w:rPr>
                <w:rFonts w:eastAsia="Times New Roman" w:cstheme="minorHAnsi"/>
                <w:kern w:val="0"/>
                <w14:ligatures w14:val="none"/>
              </w:rPr>
            </w:pPr>
            <w:r>
              <w:rPr>
                <w:rFonts w:eastAsia="Times New Roman" w:cstheme="minorHAnsi"/>
                <w:kern w:val="0"/>
                <w14:ligatures w14:val="none"/>
              </w:rPr>
              <w:t>$</w:t>
            </w:r>
            <w:r w:rsidR="00BA3FB2" w:rsidRPr="00463910">
              <w:rPr>
                <w:rFonts w:eastAsia="Times New Roman" w:cstheme="minorHAnsi"/>
                <w:kern w:val="0"/>
                <w14:ligatures w14:val="none"/>
              </w:rPr>
              <w:t>39,744</w:t>
            </w:r>
          </w:p>
        </w:tc>
        <w:tc>
          <w:tcPr>
            <w:tcW w:w="6120" w:type="dxa"/>
          </w:tcPr>
          <w:p w14:paraId="0FE005AE" w14:textId="653511AC" w:rsidR="00BA3FB2" w:rsidRPr="00463910" w:rsidRDefault="00BA3FB2" w:rsidP="00020AD2">
            <w:pPr>
              <w:spacing w:before="100" w:beforeAutospacing="1"/>
              <w:rPr>
                <w:rFonts w:eastAsia="Times New Roman" w:cstheme="minorHAnsi"/>
                <w:kern w:val="0"/>
                <w14:ligatures w14:val="none"/>
              </w:rPr>
            </w:pPr>
            <w:r w:rsidRPr="00463910">
              <w:rPr>
                <w:rFonts w:eastAsia="Times New Roman" w:cstheme="minorHAnsi"/>
                <w:kern w:val="0"/>
                <w14:ligatures w14:val="none"/>
              </w:rPr>
              <w:t xml:space="preserve">Assumes 2 FTE to start, plus a </w:t>
            </w:r>
            <w:proofErr w:type="spellStart"/>
            <w:r w:rsidRPr="00463910">
              <w:rPr>
                <w:rFonts w:eastAsia="Times New Roman" w:cstheme="minorHAnsi"/>
                <w:kern w:val="0"/>
                <w14:ligatures w14:val="none"/>
              </w:rPr>
              <w:t>mid year</w:t>
            </w:r>
            <w:proofErr w:type="spellEnd"/>
            <w:r w:rsidRPr="00463910">
              <w:rPr>
                <w:rFonts w:eastAsia="Times New Roman" w:cstheme="minorHAnsi"/>
                <w:kern w:val="0"/>
                <w14:ligatures w14:val="none"/>
              </w:rPr>
              <w:t xml:space="preserve"> add of 1.0 FTE with a 30% reduction for ramping in FY 25;</w:t>
            </w:r>
            <w:r w:rsidR="002B412A">
              <w:rPr>
                <w:rFonts w:eastAsia="Times New Roman" w:cstheme="minorHAnsi"/>
                <w:kern w:val="0"/>
                <w14:ligatures w14:val="none"/>
              </w:rPr>
              <w:t xml:space="preserve"> </w:t>
            </w:r>
            <w:r w:rsidRPr="00463910">
              <w:rPr>
                <w:rFonts w:eastAsia="Times New Roman" w:cstheme="minorHAnsi"/>
                <w:kern w:val="0"/>
                <w14:ligatures w14:val="none"/>
              </w:rPr>
              <w:t xml:space="preserve">Assumes 3.0 FTE in FY </w:t>
            </w:r>
            <w:proofErr w:type="gramStart"/>
            <w:r w:rsidRPr="00463910">
              <w:rPr>
                <w:rFonts w:eastAsia="Times New Roman" w:cstheme="minorHAnsi"/>
                <w:kern w:val="0"/>
                <w14:ligatures w14:val="none"/>
              </w:rPr>
              <w:t>26</w:t>
            </w:r>
            <w:r w:rsidR="00F451B0" w:rsidRPr="00463910">
              <w:rPr>
                <w:rFonts w:eastAsia="Times New Roman" w:cstheme="minorHAnsi"/>
                <w:kern w:val="0"/>
                <w14:ligatures w14:val="none"/>
              </w:rPr>
              <w:t>;</w:t>
            </w:r>
            <w:proofErr w:type="gramEnd"/>
          </w:p>
          <w:p w14:paraId="409E381D" w14:textId="176D421A" w:rsidR="00F451B0" w:rsidRPr="00463910" w:rsidRDefault="00F451B0" w:rsidP="00020AD2">
            <w:pPr>
              <w:spacing w:before="100" w:beforeAutospacing="1"/>
              <w:rPr>
                <w:rFonts w:eastAsia="Times New Roman" w:cstheme="minorHAnsi"/>
                <w:kern w:val="0"/>
                <w14:ligatures w14:val="none"/>
              </w:rPr>
            </w:pPr>
            <w:r w:rsidRPr="00463910">
              <w:rPr>
                <w:rFonts w:eastAsia="Times New Roman" w:cstheme="minorHAnsi"/>
                <w:kern w:val="0"/>
                <w14:ligatures w14:val="none"/>
              </w:rPr>
              <w:t xml:space="preserve">Space recharge is calculated at </w:t>
            </w:r>
            <w:r w:rsidR="001725DC" w:rsidRPr="00463910">
              <w:rPr>
                <w:rFonts w:eastAsia="Times New Roman" w:cstheme="minorHAnsi"/>
                <w:kern w:val="0"/>
                <w14:ligatures w14:val="none"/>
              </w:rPr>
              <w:t>$66.24 per square foot</w:t>
            </w:r>
            <w:r w:rsidR="00B83399" w:rsidRPr="00463910">
              <w:rPr>
                <w:rFonts w:eastAsia="Times New Roman" w:cstheme="minorHAnsi"/>
                <w:kern w:val="0"/>
                <w14:ligatures w14:val="none"/>
              </w:rPr>
              <w:t xml:space="preserve">, with exam rooms on average 100 square feet; </w:t>
            </w:r>
            <w:proofErr w:type="gramStart"/>
            <w:r w:rsidR="00B83399" w:rsidRPr="00463910">
              <w:rPr>
                <w:rFonts w:eastAsia="Times New Roman" w:cstheme="minorHAnsi"/>
                <w:kern w:val="0"/>
                <w14:ligatures w14:val="none"/>
              </w:rPr>
              <w:t>Typically</w:t>
            </w:r>
            <w:proofErr w:type="gramEnd"/>
            <w:r w:rsidR="00B83399" w:rsidRPr="00463910">
              <w:rPr>
                <w:rFonts w:eastAsia="Times New Roman" w:cstheme="minorHAnsi"/>
                <w:kern w:val="0"/>
                <w14:ligatures w14:val="none"/>
              </w:rPr>
              <w:t xml:space="preserve"> each APP gets two exam rooms per </w:t>
            </w:r>
            <w:r w:rsidR="002C7061" w:rsidRPr="00463910">
              <w:rPr>
                <w:rFonts w:eastAsia="Times New Roman" w:cstheme="minorHAnsi"/>
                <w:kern w:val="0"/>
                <w14:ligatures w14:val="none"/>
              </w:rPr>
              <w:t>clinic session.</w:t>
            </w:r>
          </w:p>
        </w:tc>
      </w:tr>
      <w:tr w:rsidR="00BA3FB2" w14:paraId="4EC8F8C7" w14:textId="77777777" w:rsidTr="00515782">
        <w:tc>
          <w:tcPr>
            <w:tcW w:w="1255" w:type="dxa"/>
          </w:tcPr>
          <w:p w14:paraId="4F86AB7F" w14:textId="2624D648" w:rsidR="00BA3FB2" w:rsidRPr="00463910" w:rsidRDefault="00BA3FB2" w:rsidP="00020AD2">
            <w:pPr>
              <w:spacing w:before="100" w:beforeAutospacing="1"/>
              <w:rPr>
                <w:rFonts w:eastAsia="Times New Roman" w:cstheme="minorHAnsi"/>
                <w:kern w:val="0"/>
                <w14:ligatures w14:val="none"/>
              </w:rPr>
            </w:pPr>
            <w:r w:rsidRPr="00463910">
              <w:rPr>
                <w:rFonts w:eastAsia="Times New Roman" w:cstheme="minorHAnsi"/>
                <w:kern w:val="0"/>
                <w14:ligatures w14:val="none"/>
              </w:rPr>
              <w:t>Staffing</w:t>
            </w:r>
            <w:r w:rsidR="001B5F6D" w:rsidRPr="00463910">
              <w:rPr>
                <w:rFonts w:eastAsia="Times New Roman" w:cstheme="minorHAnsi"/>
                <w:kern w:val="0"/>
                <w14:ligatures w14:val="none"/>
              </w:rPr>
              <w:t xml:space="preserve"> Savings</w:t>
            </w:r>
          </w:p>
        </w:tc>
        <w:tc>
          <w:tcPr>
            <w:tcW w:w="1620" w:type="dxa"/>
          </w:tcPr>
          <w:p w14:paraId="7C6E0FF5" w14:textId="29E8BF64" w:rsidR="00BA3FB2" w:rsidRPr="00463910" w:rsidRDefault="00AA296E" w:rsidP="00020AD2">
            <w:pPr>
              <w:spacing w:before="100" w:beforeAutospacing="1"/>
              <w:rPr>
                <w:rFonts w:eastAsia="Times New Roman" w:cstheme="minorHAnsi"/>
                <w:kern w:val="0"/>
                <w14:ligatures w14:val="none"/>
              </w:rPr>
            </w:pPr>
            <w:r>
              <w:rPr>
                <w:rFonts w:eastAsia="Times New Roman" w:cstheme="minorHAnsi"/>
                <w:kern w:val="0"/>
                <w14:ligatures w14:val="none"/>
              </w:rPr>
              <w:t>$</w:t>
            </w:r>
            <w:r w:rsidR="00BA3FB2" w:rsidRPr="00463910">
              <w:rPr>
                <w:rFonts w:eastAsia="Times New Roman" w:cstheme="minorHAnsi"/>
                <w:kern w:val="0"/>
                <w14:ligatures w14:val="none"/>
              </w:rPr>
              <w:t>289,262.06</w:t>
            </w:r>
          </w:p>
        </w:tc>
        <w:tc>
          <w:tcPr>
            <w:tcW w:w="1710" w:type="dxa"/>
          </w:tcPr>
          <w:p w14:paraId="25672EA1" w14:textId="5006A4AF" w:rsidR="00BA3FB2" w:rsidRPr="00463910" w:rsidRDefault="00AA296E" w:rsidP="00020AD2">
            <w:pPr>
              <w:spacing w:before="100" w:beforeAutospacing="1"/>
              <w:rPr>
                <w:rFonts w:eastAsia="Times New Roman" w:cstheme="minorHAnsi"/>
                <w:kern w:val="0"/>
                <w14:ligatures w14:val="none"/>
              </w:rPr>
            </w:pPr>
            <w:r>
              <w:rPr>
                <w:rFonts w:eastAsia="Times New Roman" w:cstheme="minorHAnsi"/>
                <w:kern w:val="0"/>
                <w14:ligatures w14:val="none"/>
              </w:rPr>
              <w:t>$</w:t>
            </w:r>
            <w:r w:rsidR="00BA3FB2" w:rsidRPr="00463910">
              <w:rPr>
                <w:rFonts w:eastAsia="Times New Roman" w:cstheme="minorHAnsi"/>
                <w:kern w:val="0"/>
                <w14:ligatures w14:val="none"/>
              </w:rPr>
              <w:t>369,270.72</w:t>
            </w:r>
          </w:p>
        </w:tc>
        <w:tc>
          <w:tcPr>
            <w:tcW w:w="6120" w:type="dxa"/>
          </w:tcPr>
          <w:p w14:paraId="5610A362" w14:textId="77777777" w:rsidR="00BA3FB2" w:rsidRPr="00463910" w:rsidRDefault="002C7061" w:rsidP="00020AD2">
            <w:pPr>
              <w:spacing w:before="100" w:beforeAutospacing="1"/>
              <w:rPr>
                <w:rFonts w:eastAsia="Times New Roman" w:cstheme="minorHAnsi"/>
                <w:kern w:val="0"/>
                <w14:ligatures w14:val="none"/>
              </w:rPr>
            </w:pPr>
            <w:r w:rsidRPr="00463910">
              <w:rPr>
                <w:rFonts w:eastAsia="Times New Roman" w:cstheme="minorHAnsi"/>
                <w:kern w:val="0"/>
                <w14:ligatures w14:val="none"/>
              </w:rPr>
              <w:t xml:space="preserve">Traditional </w:t>
            </w:r>
            <w:r w:rsidR="005E03A0" w:rsidRPr="00463910">
              <w:rPr>
                <w:rFonts w:eastAsia="Times New Roman" w:cstheme="minorHAnsi"/>
                <w:kern w:val="0"/>
                <w14:ligatures w14:val="none"/>
              </w:rPr>
              <w:t>clinics a</w:t>
            </w:r>
            <w:r w:rsidR="00BA3FB2" w:rsidRPr="00463910">
              <w:rPr>
                <w:rFonts w:eastAsia="Times New Roman" w:cstheme="minorHAnsi"/>
                <w:kern w:val="0"/>
                <w14:ligatures w14:val="none"/>
              </w:rPr>
              <w:t>ssume 1:1 nursing staffing and 1:</w:t>
            </w:r>
            <w:r w:rsidR="006B3424" w:rsidRPr="00463910">
              <w:rPr>
                <w:rFonts w:eastAsia="Times New Roman" w:cstheme="minorHAnsi"/>
                <w:kern w:val="0"/>
                <w14:ligatures w14:val="none"/>
              </w:rPr>
              <w:t xml:space="preserve">2 </w:t>
            </w:r>
            <w:r w:rsidR="00BA3FB2" w:rsidRPr="00463910">
              <w:rPr>
                <w:rFonts w:eastAsia="Times New Roman" w:cstheme="minorHAnsi"/>
                <w:kern w:val="0"/>
                <w14:ligatures w14:val="none"/>
              </w:rPr>
              <w:t xml:space="preserve">administrative </w:t>
            </w:r>
            <w:proofErr w:type="gramStart"/>
            <w:r w:rsidR="00BA3FB2" w:rsidRPr="00463910">
              <w:rPr>
                <w:rFonts w:eastAsia="Times New Roman" w:cstheme="minorHAnsi"/>
                <w:kern w:val="0"/>
                <w14:ligatures w14:val="none"/>
              </w:rPr>
              <w:t>staffing</w:t>
            </w:r>
            <w:r w:rsidR="00BE2769" w:rsidRPr="00463910">
              <w:rPr>
                <w:rFonts w:eastAsia="Times New Roman" w:cstheme="minorHAnsi"/>
                <w:kern w:val="0"/>
                <w14:ligatures w14:val="none"/>
              </w:rPr>
              <w:t>;</w:t>
            </w:r>
            <w:proofErr w:type="gramEnd"/>
          </w:p>
          <w:p w14:paraId="02749D73" w14:textId="15CAF6D1" w:rsidR="006B3424" w:rsidRPr="00463910" w:rsidRDefault="006B3424" w:rsidP="00020AD2">
            <w:pPr>
              <w:spacing w:before="100" w:beforeAutospacing="1"/>
              <w:rPr>
                <w:rFonts w:eastAsia="Times New Roman" w:cstheme="minorHAnsi"/>
                <w:kern w:val="0"/>
                <w14:ligatures w14:val="none"/>
              </w:rPr>
            </w:pPr>
            <w:r w:rsidRPr="00463910">
              <w:rPr>
                <w:rFonts w:eastAsia="Times New Roman" w:cstheme="minorHAnsi"/>
                <w:kern w:val="0"/>
                <w14:ligatures w14:val="none"/>
              </w:rPr>
              <w:t>Express Care model assumes no nursing staffing, and 1:4</w:t>
            </w:r>
            <w:r w:rsidR="006A5580" w:rsidRPr="00463910">
              <w:rPr>
                <w:rFonts w:eastAsia="Times New Roman" w:cstheme="minorHAnsi"/>
                <w:kern w:val="0"/>
                <w14:ligatures w14:val="none"/>
              </w:rPr>
              <w:t xml:space="preserve"> administrative staffing</w:t>
            </w:r>
            <w:r w:rsidR="00AA296E">
              <w:rPr>
                <w:rFonts w:eastAsia="Times New Roman" w:cstheme="minorHAnsi"/>
                <w:kern w:val="0"/>
                <w14:ligatures w14:val="none"/>
              </w:rPr>
              <w:t>.</w:t>
            </w:r>
          </w:p>
        </w:tc>
      </w:tr>
      <w:tr w:rsidR="00BA3FB2" w14:paraId="103787C7" w14:textId="77777777" w:rsidTr="00515782">
        <w:tc>
          <w:tcPr>
            <w:tcW w:w="1255" w:type="dxa"/>
          </w:tcPr>
          <w:p w14:paraId="0EFCC663" w14:textId="2BD889B4" w:rsidR="00BA3FB2" w:rsidRPr="00463910" w:rsidRDefault="00BA3FB2" w:rsidP="00020AD2">
            <w:pPr>
              <w:spacing w:before="100" w:beforeAutospacing="1"/>
              <w:rPr>
                <w:rFonts w:eastAsia="Times New Roman" w:cstheme="minorHAnsi"/>
                <w:kern w:val="0"/>
                <w14:ligatures w14:val="none"/>
              </w:rPr>
            </w:pPr>
            <w:r w:rsidRPr="00463910">
              <w:rPr>
                <w:rFonts w:eastAsia="Times New Roman" w:cstheme="minorHAnsi"/>
                <w:kern w:val="0"/>
                <w14:ligatures w14:val="none"/>
              </w:rPr>
              <w:t>Revenue</w:t>
            </w:r>
            <w:r w:rsidR="001B5F6D" w:rsidRPr="00463910">
              <w:rPr>
                <w:rFonts w:eastAsia="Times New Roman" w:cstheme="minorHAnsi"/>
                <w:kern w:val="0"/>
                <w14:ligatures w14:val="none"/>
              </w:rPr>
              <w:t xml:space="preserve"> Generation</w:t>
            </w:r>
          </w:p>
        </w:tc>
        <w:tc>
          <w:tcPr>
            <w:tcW w:w="1620" w:type="dxa"/>
          </w:tcPr>
          <w:p w14:paraId="12537126" w14:textId="610335CB" w:rsidR="00BA3FB2" w:rsidRPr="00463910" w:rsidRDefault="00AA296E" w:rsidP="00020AD2">
            <w:pPr>
              <w:spacing w:before="100" w:beforeAutospacing="1"/>
              <w:rPr>
                <w:rFonts w:eastAsia="Times New Roman" w:cstheme="minorHAnsi"/>
                <w:kern w:val="0"/>
                <w14:ligatures w14:val="none"/>
              </w:rPr>
            </w:pPr>
            <w:r>
              <w:rPr>
                <w:rFonts w:eastAsia="Times New Roman" w:cstheme="minorHAnsi"/>
                <w:kern w:val="0"/>
                <w14:ligatures w14:val="none"/>
              </w:rPr>
              <w:t>$</w:t>
            </w:r>
            <w:r w:rsidR="00BA3FB2" w:rsidRPr="00463910">
              <w:rPr>
                <w:rFonts w:eastAsia="Times New Roman" w:cstheme="minorHAnsi"/>
                <w:kern w:val="0"/>
                <w14:ligatures w14:val="none"/>
              </w:rPr>
              <w:t>725,090.432</w:t>
            </w:r>
          </w:p>
        </w:tc>
        <w:tc>
          <w:tcPr>
            <w:tcW w:w="1710" w:type="dxa"/>
          </w:tcPr>
          <w:p w14:paraId="26288697" w14:textId="53339E1D" w:rsidR="00BA3FB2" w:rsidRPr="00463910" w:rsidRDefault="00AA296E" w:rsidP="00020AD2">
            <w:pPr>
              <w:spacing w:before="100" w:beforeAutospacing="1"/>
              <w:rPr>
                <w:rFonts w:eastAsia="Times New Roman" w:cstheme="minorHAnsi"/>
                <w:kern w:val="0"/>
                <w14:ligatures w14:val="none"/>
              </w:rPr>
            </w:pPr>
            <w:r>
              <w:rPr>
                <w:rFonts w:eastAsia="Times New Roman" w:cstheme="minorHAnsi"/>
                <w:kern w:val="0"/>
                <w14:ligatures w14:val="none"/>
              </w:rPr>
              <w:t>$</w:t>
            </w:r>
            <w:r w:rsidR="00BA3FB2" w:rsidRPr="00463910">
              <w:rPr>
                <w:rFonts w:eastAsia="Times New Roman" w:cstheme="minorHAnsi"/>
                <w:kern w:val="0"/>
                <w14:ligatures w14:val="none"/>
              </w:rPr>
              <w:t>925,647.36</w:t>
            </w:r>
          </w:p>
        </w:tc>
        <w:tc>
          <w:tcPr>
            <w:tcW w:w="6120" w:type="dxa"/>
            <w:tcBorders>
              <w:bottom w:val="single" w:sz="4" w:space="0" w:color="auto"/>
            </w:tcBorders>
          </w:tcPr>
          <w:p w14:paraId="7BC002C7" w14:textId="266B7B15" w:rsidR="00BA3FB2" w:rsidRPr="00463910" w:rsidRDefault="00BA3FB2" w:rsidP="00020AD2">
            <w:pPr>
              <w:spacing w:before="100" w:beforeAutospacing="1"/>
              <w:rPr>
                <w:rFonts w:eastAsia="Times New Roman" w:cstheme="minorHAnsi"/>
                <w:kern w:val="0"/>
                <w14:ligatures w14:val="none"/>
              </w:rPr>
            </w:pPr>
            <w:r w:rsidRPr="00463910">
              <w:rPr>
                <w:rFonts w:eastAsia="Times New Roman" w:cstheme="minorHAnsi"/>
                <w:kern w:val="0"/>
                <w14:ligatures w14:val="none"/>
              </w:rPr>
              <w:t>Assumes 100% visits billed at 99213, with Medicare reimbursement rate. Assumes APPs see 64 billable visits per week, for 44 weeks</w:t>
            </w:r>
            <w:r w:rsidR="00AA296E">
              <w:rPr>
                <w:rFonts w:eastAsia="Times New Roman" w:cstheme="minorHAnsi"/>
                <w:kern w:val="0"/>
                <w14:ligatures w14:val="none"/>
              </w:rPr>
              <w:t>.</w:t>
            </w:r>
          </w:p>
        </w:tc>
      </w:tr>
      <w:tr w:rsidR="00BA3FB2" w14:paraId="181DD37A" w14:textId="77777777" w:rsidTr="00515782">
        <w:tc>
          <w:tcPr>
            <w:tcW w:w="1255" w:type="dxa"/>
          </w:tcPr>
          <w:p w14:paraId="3D609DF5" w14:textId="77777777" w:rsidR="00BA3FB2" w:rsidRPr="00463910" w:rsidRDefault="00BA3FB2" w:rsidP="00020AD2">
            <w:pPr>
              <w:spacing w:before="100" w:beforeAutospacing="1"/>
              <w:rPr>
                <w:rFonts w:eastAsia="Times New Roman" w:cstheme="minorHAnsi"/>
                <w:b/>
                <w:kern w:val="0"/>
                <w14:ligatures w14:val="none"/>
              </w:rPr>
            </w:pPr>
            <w:r w:rsidRPr="00463910">
              <w:rPr>
                <w:rFonts w:eastAsia="Times New Roman" w:cstheme="minorHAnsi"/>
                <w:b/>
                <w:kern w:val="0"/>
                <w14:ligatures w14:val="none"/>
              </w:rPr>
              <w:t>TOTAL</w:t>
            </w:r>
          </w:p>
        </w:tc>
        <w:tc>
          <w:tcPr>
            <w:tcW w:w="1620" w:type="dxa"/>
          </w:tcPr>
          <w:p w14:paraId="3E98907A" w14:textId="4DEDD851" w:rsidR="00BA3FB2" w:rsidRPr="00463910" w:rsidRDefault="00AA296E" w:rsidP="00020AD2">
            <w:pPr>
              <w:spacing w:before="100" w:beforeAutospacing="1"/>
              <w:rPr>
                <w:rFonts w:eastAsia="Times New Roman" w:cstheme="minorHAnsi"/>
                <w:b/>
                <w:kern w:val="0"/>
                <w14:ligatures w14:val="none"/>
              </w:rPr>
            </w:pPr>
            <w:r>
              <w:rPr>
                <w:rFonts w:eastAsia="Times New Roman" w:cstheme="minorHAnsi"/>
                <w:b/>
                <w:kern w:val="0"/>
                <w14:ligatures w14:val="none"/>
              </w:rPr>
              <w:t>$</w:t>
            </w:r>
            <w:r w:rsidR="00BA3FB2" w:rsidRPr="00463910">
              <w:rPr>
                <w:rFonts w:eastAsia="Times New Roman" w:cstheme="minorHAnsi"/>
                <w:b/>
                <w:kern w:val="0"/>
                <w14:ligatures w14:val="none"/>
              </w:rPr>
              <w:t>1,045,485.30</w:t>
            </w:r>
          </w:p>
        </w:tc>
        <w:tc>
          <w:tcPr>
            <w:tcW w:w="1710" w:type="dxa"/>
          </w:tcPr>
          <w:p w14:paraId="7DEB754E" w14:textId="7E45918D" w:rsidR="00BA3FB2" w:rsidRPr="00463910" w:rsidRDefault="00AA296E" w:rsidP="00020AD2">
            <w:pPr>
              <w:spacing w:before="100" w:beforeAutospacing="1"/>
              <w:rPr>
                <w:rFonts w:eastAsia="Times New Roman" w:cstheme="minorHAnsi"/>
                <w:b/>
                <w:kern w:val="0"/>
                <w14:ligatures w14:val="none"/>
              </w:rPr>
            </w:pPr>
            <w:r>
              <w:rPr>
                <w:rFonts w:eastAsia="Times New Roman" w:cstheme="minorHAnsi"/>
                <w:b/>
                <w:kern w:val="0"/>
                <w14:ligatures w14:val="none"/>
              </w:rPr>
              <w:t>$</w:t>
            </w:r>
            <w:r w:rsidR="00BA3FB2" w:rsidRPr="00463910">
              <w:rPr>
                <w:rFonts w:eastAsia="Times New Roman" w:cstheme="minorHAnsi"/>
                <w:b/>
                <w:kern w:val="0"/>
                <w14:ligatures w14:val="none"/>
              </w:rPr>
              <w:t>1,334,662.08</w:t>
            </w:r>
          </w:p>
        </w:tc>
        <w:tc>
          <w:tcPr>
            <w:tcW w:w="6120" w:type="dxa"/>
            <w:tcBorders>
              <w:bottom w:val="nil"/>
              <w:right w:val="nil"/>
            </w:tcBorders>
          </w:tcPr>
          <w:p w14:paraId="4D001B22" w14:textId="77777777" w:rsidR="00BA3FB2" w:rsidRPr="00463910" w:rsidRDefault="00BA3FB2" w:rsidP="00020AD2">
            <w:pPr>
              <w:spacing w:before="100" w:beforeAutospacing="1"/>
              <w:rPr>
                <w:rFonts w:eastAsia="Times New Roman" w:cstheme="minorHAnsi"/>
                <w:kern w:val="0"/>
                <w14:ligatures w14:val="none"/>
              </w:rPr>
            </w:pPr>
          </w:p>
        </w:tc>
      </w:tr>
    </w:tbl>
    <w:p w14:paraId="6AC20AD4" w14:textId="6ECC6722" w:rsidR="00BA3FB2" w:rsidRPr="00463910" w:rsidRDefault="00BA3FB2" w:rsidP="00454DAC">
      <w:pPr>
        <w:spacing w:after="0" w:line="240" w:lineRule="auto"/>
        <w:rPr>
          <w:rFonts w:eastAsia="Times New Roman" w:cstheme="minorHAnsi"/>
          <w:kern w:val="0"/>
          <w14:ligatures w14:val="none"/>
        </w:rPr>
      </w:pPr>
      <w:r w:rsidRPr="00463910">
        <w:rPr>
          <w:rFonts w:eastAsia="Times New Roman" w:cstheme="minorHAnsi"/>
          <w:kern w:val="0"/>
          <w14:ligatures w14:val="none"/>
        </w:rPr>
        <w:t xml:space="preserve">Table </w:t>
      </w:r>
      <w:r w:rsidR="003F5691" w:rsidRPr="00463910">
        <w:rPr>
          <w:rFonts w:eastAsia="Times New Roman" w:cstheme="minorHAnsi"/>
          <w:kern w:val="0"/>
          <w14:ligatures w14:val="none"/>
        </w:rPr>
        <w:t>2</w:t>
      </w:r>
      <w:r w:rsidRPr="00463910">
        <w:rPr>
          <w:rFonts w:eastAsia="Times New Roman" w:cstheme="minorHAnsi"/>
          <w:kern w:val="0"/>
          <w14:ligatures w14:val="none"/>
        </w:rPr>
        <w:t>. Return on Investment (ROI) for proposal for cost savings (recharge and staff expense), and revenue generation for Express Care</w:t>
      </w:r>
      <w:r w:rsidR="00AA296E">
        <w:rPr>
          <w:rFonts w:eastAsia="Times New Roman" w:cstheme="minorHAnsi"/>
          <w:kern w:val="0"/>
          <w14:ligatures w14:val="none"/>
        </w:rPr>
        <w:t>.</w:t>
      </w:r>
    </w:p>
    <w:p w14:paraId="7769A3B0" w14:textId="77777777" w:rsidR="00BA3FB2" w:rsidRDefault="00BA3FB2" w:rsidP="00020AD2">
      <w:pPr>
        <w:spacing w:after="0"/>
      </w:pPr>
    </w:p>
    <w:p w14:paraId="09475FE0" w14:textId="77777777" w:rsidR="002B412A" w:rsidRDefault="002B412A" w:rsidP="00020AD2">
      <w:pPr>
        <w:spacing w:after="0"/>
      </w:pPr>
    </w:p>
    <w:p w14:paraId="35631ACE" w14:textId="77777777" w:rsidR="002B412A" w:rsidRDefault="002B412A" w:rsidP="00020AD2">
      <w:pPr>
        <w:spacing w:after="0"/>
      </w:pPr>
    </w:p>
    <w:p w14:paraId="73261756" w14:textId="77777777" w:rsidR="002B412A" w:rsidRDefault="002B412A" w:rsidP="00020AD2">
      <w:pPr>
        <w:spacing w:after="0"/>
      </w:pPr>
    </w:p>
    <w:tbl>
      <w:tblPr>
        <w:tblStyle w:val="TableGrid"/>
        <w:tblW w:w="9355" w:type="dxa"/>
        <w:tblLook w:val="04A0" w:firstRow="1" w:lastRow="0" w:firstColumn="1" w:lastColumn="0" w:noHBand="0" w:noVBand="1"/>
      </w:tblPr>
      <w:tblGrid>
        <w:gridCol w:w="3685"/>
        <w:gridCol w:w="1710"/>
        <w:gridCol w:w="1890"/>
        <w:gridCol w:w="2070"/>
      </w:tblGrid>
      <w:tr w:rsidR="00BA3FB2" w14:paraId="6830D1EE" w14:textId="77777777" w:rsidTr="00394EB0">
        <w:tc>
          <w:tcPr>
            <w:tcW w:w="3685" w:type="dxa"/>
          </w:tcPr>
          <w:p w14:paraId="26254BF4" w14:textId="77777777" w:rsidR="00BA3FB2" w:rsidRPr="00463910" w:rsidRDefault="00BA3FB2" w:rsidP="00020AD2">
            <w:pPr>
              <w:spacing w:before="100" w:beforeAutospacing="1"/>
              <w:rPr>
                <w:rFonts w:eastAsia="Times New Roman" w:cstheme="minorHAnsi"/>
                <w:b/>
                <w:bCs/>
                <w:kern w:val="0"/>
                <w14:ligatures w14:val="none"/>
              </w:rPr>
            </w:pPr>
            <w:r w:rsidRPr="00463910">
              <w:rPr>
                <w:rFonts w:eastAsia="Times New Roman" w:cstheme="minorHAnsi"/>
                <w:b/>
                <w:bCs/>
                <w:kern w:val="0"/>
                <w14:ligatures w14:val="none"/>
              </w:rPr>
              <w:t>Patient Experience Measure</w:t>
            </w:r>
          </w:p>
        </w:tc>
        <w:tc>
          <w:tcPr>
            <w:tcW w:w="1710" w:type="dxa"/>
          </w:tcPr>
          <w:p w14:paraId="7FDF9758" w14:textId="77777777" w:rsidR="00BA3FB2" w:rsidRPr="00463910" w:rsidRDefault="00BA3FB2" w:rsidP="00020AD2">
            <w:pPr>
              <w:spacing w:before="100" w:beforeAutospacing="1"/>
              <w:rPr>
                <w:rFonts w:eastAsia="Times New Roman" w:cstheme="minorHAnsi"/>
                <w:b/>
                <w:bCs/>
                <w:kern w:val="0"/>
                <w14:ligatures w14:val="none"/>
              </w:rPr>
            </w:pPr>
            <w:r w:rsidRPr="00463910">
              <w:rPr>
                <w:rFonts w:eastAsia="Times New Roman" w:cstheme="minorHAnsi"/>
                <w:b/>
                <w:bCs/>
                <w:kern w:val="0"/>
                <w14:ligatures w14:val="none"/>
              </w:rPr>
              <w:t>In Person Score</w:t>
            </w:r>
          </w:p>
        </w:tc>
        <w:tc>
          <w:tcPr>
            <w:tcW w:w="1890" w:type="dxa"/>
          </w:tcPr>
          <w:p w14:paraId="3FBE04A7" w14:textId="77777777" w:rsidR="00BA3FB2" w:rsidRPr="00463910" w:rsidRDefault="00BA3FB2" w:rsidP="00020AD2">
            <w:pPr>
              <w:spacing w:before="100" w:beforeAutospacing="1"/>
              <w:rPr>
                <w:rFonts w:eastAsia="Times New Roman" w:cstheme="minorHAnsi"/>
                <w:b/>
                <w:bCs/>
                <w:kern w:val="0"/>
                <w14:ligatures w14:val="none"/>
              </w:rPr>
            </w:pPr>
            <w:r w:rsidRPr="00463910">
              <w:rPr>
                <w:rFonts w:eastAsia="Times New Roman" w:cstheme="minorHAnsi"/>
                <w:b/>
                <w:bCs/>
                <w:kern w:val="0"/>
                <w14:ligatures w14:val="none"/>
              </w:rPr>
              <w:t>Video Visit Score</w:t>
            </w:r>
          </w:p>
        </w:tc>
        <w:tc>
          <w:tcPr>
            <w:tcW w:w="2070" w:type="dxa"/>
          </w:tcPr>
          <w:p w14:paraId="77C553E8" w14:textId="77777777" w:rsidR="00BA3FB2" w:rsidRPr="00463910" w:rsidRDefault="00BA3FB2" w:rsidP="00020AD2">
            <w:pPr>
              <w:spacing w:before="100" w:beforeAutospacing="1"/>
              <w:rPr>
                <w:rFonts w:eastAsia="Times New Roman" w:cstheme="minorHAnsi"/>
                <w:b/>
                <w:bCs/>
                <w:kern w:val="0"/>
                <w14:ligatures w14:val="none"/>
              </w:rPr>
            </w:pPr>
            <w:r w:rsidRPr="00463910">
              <w:rPr>
                <w:rFonts w:eastAsia="Times New Roman" w:cstheme="minorHAnsi"/>
                <w:b/>
                <w:bCs/>
                <w:kern w:val="0"/>
                <w14:ligatures w14:val="none"/>
              </w:rPr>
              <w:t>Express Care Score</w:t>
            </w:r>
          </w:p>
        </w:tc>
      </w:tr>
      <w:tr w:rsidR="00BA3FB2" w14:paraId="66EA7663" w14:textId="77777777" w:rsidTr="00394EB0">
        <w:tc>
          <w:tcPr>
            <w:tcW w:w="3685" w:type="dxa"/>
          </w:tcPr>
          <w:p w14:paraId="33F291F8" w14:textId="77777777" w:rsidR="00BA3FB2" w:rsidRPr="00463910" w:rsidRDefault="00BA3FB2" w:rsidP="00020AD2">
            <w:pPr>
              <w:spacing w:before="100" w:beforeAutospacing="1"/>
              <w:rPr>
                <w:rFonts w:eastAsia="Times New Roman" w:cstheme="minorHAnsi"/>
                <w:kern w:val="0"/>
                <w14:ligatures w14:val="none"/>
              </w:rPr>
            </w:pPr>
            <w:r w:rsidRPr="00463910">
              <w:rPr>
                <w:rFonts w:eastAsia="Times New Roman" w:cstheme="minorHAnsi"/>
                <w:kern w:val="0"/>
                <w14:ligatures w14:val="none"/>
              </w:rPr>
              <w:t>Staff Worked Together to Care for you</w:t>
            </w:r>
          </w:p>
        </w:tc>
        <w:tc>
          <w:tcPr>
            <w:tcW w:w="1710" w:type="dxa"/>
          </w:tcPr>
          <w:p w14:paraId="7BD6B041" w14:textId="77777777" w:rsidR="00BA3FB2" w:rsidRPr="00463910" w:rsidRDefault="00BA3FB2" w:rsidP="00020AD2">
            <w:pPr>
              <w:spacing w:before="100" w:beforeAutospacing="1"/>
              <w:rPr>
                <w:rFonts w:eastAsia="Times New Roman" w:cstheme="minorHAnsi"/>
                <w:kern w:val="0"/>
                <w14:ligatures w14:val="none"/>
              </w:rPr>
            </w:pPr>
            <w:r w:rsidRPr="00463910">
              <w:rPr>
                <w:rFonts w:eastAsia="Times New Roman" w:cstheme="minorHAnsi"/>
                <w:kern w:val="0"/>
                <w14:ligatures w14:val="none"/>
              </w:rPr>
              <w:t>91.4</w:t>
            </w:r>
          </w:p>
        </w:tc>
        <w:tc>
          <w:tcPr>
            <w:tcW w:w="1890" w:type="dxa"/>
          </w:tcPr>
          <w:p w14:paraId="7634B3A8" w14:textId="77777777" w:rsidR="00BA3FB2" w:rsidRPr="00463910" w:rsidRDefault="00BA3FB2" w:rsidP="00020AD2">
            <w:pPr>
              <w:spacing w:before="100" w:beforeAutospacing="1"/>
              <w:rPr>
                <w:rFonts w:eastAsia="Times New Roman" w:cstheme="minorHAnsi"/>
                <w:kern w:val="0"/>
                <w14:ligatures w14:val="none"/>
              </w:rPr>
            </w:pPr>
            <w:r w:rsidRPr="00463910">
              <w:rPr>
                <w:rFonts w:eastAsia="Times New Roman" w:cstheme="minorHAnsi"/>
                <w:kern w:val="0"/>
                <w14:ligatures w14:val="none"/>
              </w:rPr>
              <w:t>92.5</w:t>
            </w:r>
          </w:p>
        </w:tc>
        <w:tc>
          <w:tcPr>
            <w:tcW w:w="2070" w:type="dxa"/>
          </w:tcPr>
          <w:p w14:paraId="5EDD3295" w14:textId="77777777" w:rsidR="00BA3FB2" w:rsidRPr="00463910" w:rsidRDefault="00BA3FB2" w:rsidP="00020AD2">
            <w:pPr>
              <w:spacing w:before="100" w:beforeAutospacing="1"/>
              <w:rPr>
                <w:rFonts w:eastAsia="Times New Roman" w:cstheme="minorHAnsi"/>
                <w:kern w:val="0"/>
                <w14:ligatures w14:val="none"/>
              </w:rPr>
            </w:pPr>
            <w:r w:rsidRPr="00463910">
              <w:rPr>
                <w:rFonts w:eastAsia="Times New Roman" w:cstheme="minorHAnsi"/>
                <w:kern w:val="0"/>
                <w14:ligatures w14:val="none"/>
              </w:rPr>
              <w:t>94.34</w:t>
            </w:r>
          </w:p>
        </w:tc>
      </w:tr>
      <w:tr w:rsidR="00BA3FB2" w14:paraId="51A7A19D" w14:textId="77777777" w:rsidTr="00394EB0">
        <w:tc>
          <w:tcPr>
            <w:tcW w:w="3685" w:type="dxa"/>
          </w:tcPr>
          <w:p w14:paraId="4BCCA242" w14:textId="77777777" w:rsidR="00BA3FB2" w:rsidRPr="00463910" w:rsidRDefault="00BA3FB2" w:rsidP="00020AD2">
            <w:pPr>
              <w:spacing w:before="100" w:beforeAutospacing="1"/>
              <w:rPr>
                <w:rFonts w:eastAsia="Times New Roman" w:cstheme="minorHAnsi"/>
                <w:kern w:val="0"/>
                <w14:ligatures w14:val="none"/>
              </w:rPr>
            </w:pPr>
            <w:r w:rsidRPr="00463910">
              <w:rPr>
                <w:rFonts w:eastAsia="Times New Roman" w:cstheme="minorHAnsi"/>
                <w:kern w:val="0"/>
                <w14:ligatures w14:val="none"/>
              </w:rPr>
              <w:t>Likelihood of Recommending</w:t>
            </w:r>
          </w:p>
        </w:tc>
        <w:tc>
          <w:tcPr>
            <w:tcW w:w="1710" w:type="dxa"/>
          </w:tcPr>
          <w:p w14:paraId="0479A635" w14:textId="77777777" w:rsidR="00BA3FB2" w:rsidRPr="00463910" w:rsidRDefault="00BA3FB2" w:rsidP="00020AD2">
            <w:pPr>
              <w:spacing w:before="100" w:beforeAutospacing="1"/>
              <w:rPr>
                <w:rFonts w:eastAsia="Times New Roman" w:cstheme="minorHAnsi"/>
                <w:kern w:val="0"/>
                <w14:ligatures w14:val="none"/>
              </w:rPr>
            </w:pPr>
            <w:r w:rsidRPr="00463910">
              <w:rPr>
                <w:rFonts w:eastAsia="Times New Roman" w:cstheme="minorHAnsi"/>
                <w:kern w:val="0"/>
                <w14:ligatures w14:val="none"/>
              </w:rPr>
              <w:t>91.8</w:t>
            </w:r>
          </w:p>
        </w:tc>
        <w:tc>
          <w:tcPr>
            <w:tcW w:w="1890" w:type="dxa"/>
          </w:tcPr>
          <w:p w14:paraId="49E9E5C4" w14:textId="77777777" w:rsidR="00BA3FB2" w:rsidRPr="00463910" w:rsidRDefault="00BA3FB2" w:rsidP="00020AD2">
            <w:pPr>
              <w:spacing w:before="100" w:beforeAutospacing="1"/>
              <w:rPr>
                <w:rFonts w:eastAsia="Times New Roman" w:cstheme="minorHAnsi"/>
                <w:kern w:val="0"/>
                <w14:ligatures w14:val="none"/>
              </w:rPr>
            </w:pPr>
            <w:r w:rsidRPr="00463910">
              <w:rPr>
                <w:rFonts w:eastAsia="Times New Roman" w:cstheme="minorHAnsi"/>
                <w:kern w:val="0"/>
                <w14:ligatures w14:val="none"/>
              </w:rPr>
              <w:t>93.8</w:t>
            </w:r>
            <w:r w:rsidRPr="00463910">
              <w:rPr>
                <w:rFonts w:eastAsia="Times New Roman" w:cstheme="minorHAnsi"/>
                <w:kern w:val="0"/>
                <w14:ligatures w14:val="none"/>
              </w:rPr>
              <w:tab/>
            </w:r>
          </w:p>
        </w:tc>
        <w:tc>
          <w:tcPr>
            <w:tcW w:w="2070" w:type="dxa"/>
          </w:tcPr>
          <w:p w14:paraId="2D2077FB" w14:textId="77777777" w:rsidR="00BA3FB2" w:rsidRPr="00463910" w:rsidRDefault="00BA3FB2" w:rsidP="00020AD2">
            <w:pPr>
              <w:spacing w:before="100" w:beforeAutospacing="1"/>
              <w:rPr>
                <w:rFonts w:eastAsia="Times New Roman" w:cstheme="minorHAnsi"/>
                <w:kern w:val="0"/>
                <w14:ligatures w14:val="none"/>
              </w:rPr>
            </w:pPr>
            <w:r w:rsidRPr="00463910">
              <w:rPr>
                <w:rFonts w:eastAsia="Times New Roman" w:cstheme="minorHAnsi"/>
                <w:kern w:val="0"/>
                <w14:ligatures w14:val="none"/>
              </w:rPr>
              <w:t>94.58</w:t>
            </w:r>
          </w:p>
        </w:tc>
      </w:tr>
      <w:tr w:rsidR="00BA3FB2" w14:paraId="32F0F00D" w14:textId="77777777" w:rsidTr="00394EB0">
        <w:tc>
          <w:tcPr>
            <w:tcW w:w="3685" w:type="dxa"/>
          </w:tcPr>
          <w:p w14:paraId="26EFDE2D" w14:textId="77777777" w:rsidR="00BA3FB2" w:rsidRPr="00463910" w:rsidRDefault="00BA3FB2" w:rsidP="00020AD2">
            <w:pPr>
              <w:spacing w:before="100" w:beforeAutospacing="1"/>
              <w:rPr>
                <w:rFonts w:eastAsia="Times New Roman" w:cstheme="minorHAnsi"/>
                <w:kern w:val="0"/>
                <w14:ligatures w14:val="none"/>
              </w:rPr>
            </w:pPr>
            <w:r w:rsidRPr="00463910">
              <w:rPr>
                <w:rFonts w:eastAsia="Times New Roman" w:cstheme="minorHAnsi"/>
                <w:kern w:val="0"/>
                <w14:ligatures w14:val="none"/>
              </w:rPr>
              <w:t>Care Provider Overall</w:t>
            </w:r>
          </w:p>
        </w:tc>
        <w:tc>
          <w:tcPr>
            <w:tcW w:w="1710" w:type="dxa"/>
          </w:tcPr>
          <w:p w14:paraId="5B2B2B87" w14:textId="77777777" w:rsidR="00BA3FB2" w:rsidRPr="00463910" w:rsidRDefault="00BA3FB2" w:rsidP="00020AD2">
            <w:pPr>
              <w:spacing w:before="100" w:beforeAutospacing="1"/>
              <w:rPr>
                <w:rFonts w:eastAsia="Times New Roman" w:cstheme="minorHAnsi"/>
                <w:kern w:val="0"/>
                <w14:ligatures w14:val="none"/>
              </w:rPr>
            </w:pPr>
            <w:r w:rsidRPr="00463910">
              <w:rPr>
                <w:rFonts w:eastAsia="Times New Roman" w:cstheme="minorHAnsi"/>
                <w:kern w:val="0"/>
                <w14:ligatures w14:val="none"/>
              </w:rPr>
              <w:t>92.5</w:t>
            </w:r>
          </w:p>
        </w:tc>
        <w:tc>
          <w:tcPr>
            <w:tcW w:w="1890" w:type="dxa"/>
          </w:tcPr>
          <w:p w14:paraId="2231C950" w14:textId="77777777" w:rsidR="00BA3FB2" w:rsidRPr="00463910" w:rsidRDefault="00BA3FB2" w:rsidP="00020AD2">
            <w:pPr>
              <w:tabs>
                <w:tab w:val="left" w:pos="1048"/>
              </w:tabs>
              <w:spacing w:before="100" w:beforeAutospacing="1"/>
              <w:rPr>
                <w:rFonts w:eastAsia="Times New Roman" w:cstheme="minorHAnsi"/>
                <w:kern w:val="0"/>
                <w14:ligatures w14:val="none"/>
              </w:rPr>
            </w:pPr>
            <w:r w:rsidRPr="00463910">
              <w:rPr>
                <w:rFonts w:eastAsia="Times New Roman" w:cstheme="minorHAnsi"/>
                <w:kern w:val="0"/>
                <w14:ligatures w14:val="none"/>
              </w:rPr>
              <w:t>93.9</w:t>
            </w:r>
          </w:p>
        </w:tc>
        <w:tc>
          <w:tcPr>
            <w:tcW w:w="2070" w:type="dxa"/>
          </w:tcPr>
          <w:p w14:paraId="6B04D1C9" w14:textId="77777777" w:rsidR="00BA3FB2" w:rsidRPr="00463910" w:rsidRDefault="00BA3FB2" w:rsidP="00020AD2">
            <w:pPr>
              <w:spacing w:before="100" w:beforeAutospacing="1"/>
              <w:rPr>
                <w:rFonts w:eastAsia="Times New Roman" w:cstheme="minorHAnsi"/>
                <w:kern w:val="0"/>
                <w14:ligatures w14:val="none"/>
              </w:rPr>
            </w:pPr>
            <w:r w:rsidRPr="00463910">
              <w:rPr>
                <w:rFonts w:eastAsia="Times New Roman" w:cstheme="minorHAnsi"/>
                <w:kern w:val="0"/>
                <w14:ligatures w14:val="none"/>
              </w:rPr>
              <w:t>95.11</w:t>
            </w:r>
          </w:p>
        </w:tc>
      </w:tr>
    </w:tbl>
    <w:p w14:paraId="0F3B939D" w14:textId="3DA81045" w:rsidR="00BA3FB2" w:rsidRPr="00463910" w:rsidRDefault="00BA3FB2" w:rsidP="00454DAC">
      <w:pPr>
        <w:spacing w:after="0" w:line="240" w:lineRule="auto"/>
        <w:rPr>
          <w:rFonts w:eastAsia="Times New Roman" w:cstheme="minorHAnsi"/>
          <w:kern w:val="0"/>
          <w14:ligatures w14:val="none"/>
        </w:rPr>
      </w:pPr>
      <w:r w:rsidRPr="00463910">
        <w:rPr>
          <w:rFonts w:eastAsia="Times New Roman" w:cstheme="minorHAnsi"/>
          <w:kern w:val="0"/>
          <w14:ligatures w14:val="none"/>
        </w:rPr>
        <w:t xml:space="preserve">Table </w:t>
      </w:r>
      <w:r w:rsidR="003F5691" w:rsidRPr="00463910">
        <w:rPr>
          <w:rFonts w:eastAsia="Times New Roman" w:cstheme="minorHAnsi"/>
          <w:kern w:val="0"/>
          <w14:ligatures w14:val="none"/>
        </w:rPr>
        <w:t>3</w:t>
      </w:r>
      <w:r w:rsidRPr="00463910">
        <w:rPr>
          <w:rFonts w:eastAsia="Times New Roman" w:cstheme="minorHAnsi"/>
          <w:kern w:val="0"/>
          <w14:ligatures w14:val="none"/>
        </w:rPr>
        <w:t>. Patient Experience scores by visits completed in person, telehealth, and Express Care</w:t>
      </w:r>
      <w:r w:rsidR="00B64AD5">
        <w:rPr>
          <w:rFonts w:eastAsia="Times New Roman" w:cstheme="minorHAnsi"/>
          <w:kern w:val="0"/>
          <w14:ligatures w14:val="none"/>
        </w:rPr>
        <w:t>. Traditional visit options for in person and video visit have lower overall scores compared to the Express Care scores during the pilot phase.</w:t>
      </w:r>
    </w:p>
    <w:p w14:paraId="269B1299" w14:textId="77777777" w:rsidR="00BA3FB2" w:rsidRDefault="00BA3FB2" w:rsidP="00020AD2">
      <w:pPr>
        <w:spacing w:after="0"/>
      </w:pPr>
    </w:p>
    <w:sectPr w:rsidR="00BA3FB2" w:rsidSect="003134A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43FEC"/>
    <w:multiLevelType w:val="hybridMultilevel"/>
    <w:tmpl w:val="2410C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D33E0"/>
    <w:multiLevelType w:val="hybridMultilevel"/>
    <w:tmpl w:val="CC987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EE4044"/>
    <w:multiLevelType w:val="hybridMultilevel"/>
    <w:tmpl w:val="AFC4859E"/>
    <w:lvl w:ilvl="0" w:tplc="A30CA9B0">
      <w:start w:val="1"/>
      <w:numFmt w:val="bullet"/>
      <w:lvlText w:val=""/>
      <w:lvlJc w:val="left"/>
      <w:pPr>
        <w:ind w:left="720" w:hanging="360"/>
      </w:pPr>
      <w:rPr>
        <w:rFonts w:ascii="Symbol" w:hAnsi="Symbol" w:hint="default"/>
      </w:rPr>
    </w:lvl>
    <w:lvl w:ilvl="1" w:tplc="481A5CFA">
      <w:start w:val="1"/>
      <w:numFmt w:val="bullet"/>
      <w:lvlText w:val="o"/>
      <w:lvlJc w:val="left"/>
      <w:pPr>
        <w:ind w:left="1440" w:hanging="360"/>
      </w:pPr>
      <w:rPr>
        <w:rFonts w:ascii="Courier New" w:hAnsi="Courier New" w:hint="default"/>
      </w:rPr>
    </w:lvl>
    <w:lvl w:ilvl="2" w:tplc="7E68F8AE">
      <w:start w:val="1"/>
      <w:numFmt w:val="bullet"/>
      <w:lvlText w:val=""/>
      <w:lvlJc w:val="left"/>
      <w:pPr>
        <w:ind w:left="2160" w:hanging="360"/>
      </w:pPr>
      <w:rPr>
        <w:rFonts w:ascii="Wingdings" w:hAnsi="Wingdings" w:hint="default"/>
      </w:rPr>
    </w:lvl>
    <w:lvl w:ilvl="3" w:tplc="F0DA8CFE">
      <w:start w:val="1"/>
      <w:numFmt w:val="bullet"/>
      <w:lvlText w:val=""/>
      <w:lvlJc w:val="left"/>
      <w:pPr>
        <w:ind w:left="2880" w:hanging="360"/>
      </w:pPr>
      <w:rPr>
        <w:rFonts w:ascii="Symbol" w:hAnsi="Symbol" w:hint="default"/>
      </w:rPr>
    </w:lvl>
    <w:lvl w:ilvl="4" w:tplc="783025D0">
      <w:start w:val="1"/>
      <w:numFmt w:val="bullet"/>
      <w:lvlText w:val="o"/>
      <w:lvlJc w:val="left"/>
      <w:pPr>
        <w:ind w:left="3600" w:hanging="360"/>
      </w:pPr>
      <w:rPr>
        <w:rFonts w:ascii="Courier New" w:hAnsi="Courier New" w:hint="default"/>
      </w:rPr>
    </w:lvl>
    <w:lvl w:ilvl="5" w:tplc="F2D22756">
      <w:start w:val="1"/>
      <w:numFmt w:val="bullet"/>
      <w:lvlText w:val=""/>
      <w:lvlJc w:val="left"/>
      <w:pPr>
        <w:ind w:left="4320" w:hanging="360"/>
      </w:pPr>
      <w:rPr>
        <w:rFonts w:ascii="Wingdings" w:hAnsi="Wingdings" w:hint="default"/>
      </w:rPr>
    </w:lvl>
    <w:lvl w:ilvl="6" w:tplc="8D429150">
      <w:start w:val="1"/>
      <w:numFmt w:val="bullet"/>
      <w:lvlText w:val=""/>
      <w:lvlJc w:val="left"/>
      <w:pPr>
        <w:ind w:left="5040" w:hanging="360"/>
      </w:pPr>
      <w:rPr>
        <w:rFonts w:ascii="Symbol" w:hAnsi="Symbol" w:hint="default"/>
      </w:rPr>
    </w:lvl>
    <w:lvl w:ilvl="7" w:tplc="2CC4C9C2">
      <w:start w:val="1"/>
      <w:numFmt w:val="bullet"/>
      <w:lvlText w:val="o"/>
      <w:lvlJc w:val="left"/>
      <w:pPr>
        <w:ind w:left="5760" w:hanging="360"/>
      </w:pPr>
      <w:rPr>
        <w:rFonts w:ascii="Courier New" w:hAnsi="Courier New" w:hint="default"/>
      </w:rPr>
    </w:lvl>
    <w:lvl w:ilvl="8" w:tplc="AA4E10C0">
      <w:start w:val="1"/>
      <w:numFmt w:val="bullet"/>
      <w:lvlText w:val=""/>
      <w:lvlJc w:val="left"/>
      <w:pPr>
        <w:ind w:left="6480" w:hanging="360"/>
      </w:pPr>
      <w:rPr>
        <w:rFonts w:ascii="Wingdings" w:hAnsi="Wingdings" w:hint="default"/>
      </w:rPr>
    </w:lvl>
  </w:abstractNum>
  <w:abstractNum w:abstractNumId="3" w15:restartNumberingAfterBreak="0">
    <w:nsid w:val="273A1DEF"/>
    <w:multiLevelType w:val="hybridMultilevel"/>
    <w:tmpl w:val="3ADC730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30C99595"/>
    <w:multiLevelType w:val="hybridMultilevel"/>
    <w:tmpl w:val="AD284828"/>
    <w:lvl w:ilvl="0" w:tplc="B46CFF92">
      <w:start w:val="1"/>
      <w:numFmt w:val="bullet"/>
      <w:lvlText w:val=""/>
      <w:lvlJc w:val="left"/>
      <w:pPr>
        <w:ind w:left="720" w:hanging="360"/>
      </w:pPr>
      <w:rPr>
        <w:rFonts w:ascii="Symbol" w:hAnsi="Symbol" w:hint="default"/>
      </w:rPr>
    </w:lvl>
    <w:lvl w:ilvl="1" w:tplc="2DDCA5B8">
      <w:start w:val="1"/>
      <w:numFmt w:val="bullet"/>
      <w:lvlText w:val="o"/>
      <w:lvlJc w:val="left"/>
      <w:pPr>
        <w:ind w:left="1440" w:hanging="360"/>
      </w:pPr>
      <w:rPr>
        <w:rFonts w:ascii="Courier New" w:hAnsi="Courier New" w:hint="default"/>
      </w:rPr>
    </w:lvl>
    <w:lvl w:ilvl="2" w:tplc="21DEB824">
      <w:start w:val="1"/>
      <w:numFmt w:val="bullet"/>
      <w:lvlText w:val=""/>
      <w:lvlJc w:val="left"/>
      <w:pPr>
        <w:ind w:left="2160" w:hanging="360"/>
      </w:pPr>
      <w:rPr>
        <w:rFonts w:ascii="Wingdings" w:hAnsi="Wingdings" w:hint="default"/>
      </w:rPr>
    </w:lvl>
    <w:lvl w:ilvl="3" w:tplc="EDE4C2BA">
      <w:start w:val="1"/>
      <w:numFmt w:val="bullet"/>
      <w:lvlText w:val=""/>
      <w:lvlJc w:val="left"/>
      <w:pPr>
        <w:ind w:left="2880" w:hanging="360"/>
      </w:pPr>
      <w:rPr>
        <w:rFonts w:ascii="Symbol" w:hAnsi="Symbol" w:hint="default"/>
      </w:rPr>
    </w:lvl>
    <w:lvl w:ilvl="4" w:tplc="E7426A38">
      <w:start w:val="1"/>
      <w:numFmt w:val="bullet"/>
      <w:lvlText w:val="o"/>
      <w:lvlJc w:val="left"/>
      <w:pPr>
        <w:ind w:left="3600" w:hanging="360"/>
      </w:pPr>
      <w:rPr>
        <w:rFonts w:ascii="Courier New" w:hAnsi="Courier New" w:hint="default"/>
      </w:rPr>
    </w:lvl>
    <w:lvl w:ilvl="5" w:tplc="78D066FE">
      <w:start w:val="1"/>
      <w:numFmt w:val="bullet"/>
      <w:lvlText w:val=""/>
      <w:lvlJc w:val="left"/>
      <w:pPr>
        <w:ind w:left="4320" w:hanging="360"/>
      </w:pPr>
      <w:rPr>
        <w:rFonts w:ascii="Wingdings" w:hAnsi="Wingdings" w:hint="default"/>
      </w:rPr>
    </w:lvl>
    <w:lvl w:ilvl="6" w:tplc="B142B926">
      <w:start w:val="1"/>
      <w:numFmt w:val="bullet"/>
      <w:lvlText w:val=""/>
      <w:lvlJc w:val="left"/>
      <w:pPr>
        <w:ind w:left="5040" w:hanging="360"/>
      </w:pPr>
      <w:rPr>
        <w:rFonts w:ascii="Symbol" w:hAnsi="Symbol" w:hint="default"/>
      </w:rPr>
    </w:lvl>
    <w:lvl w:ilvl="7" w:tplc="9C1EB130">
      <w:start w:val="1"/>
      <w:numFmt w:val="bullet"/>
      <w:lvlText w:val="o"/>
      <w:lvlJc w:val="left"/>
      <w:pPr>
        <w:ind w:left="5760" w:hanging="360"/>
      </w:pPr>
      <w:rPr>
        <w:rFonts w:ascii="Courier New" w:hAnsi="Courier New" w:hint="default"/>
      </w:rPr>
    </w:lvl>
    <w:lvl w:ilvl="8" w:tplc="2208CF30">
      <w:start w:val="1"/>
      <w:numFmt w:val="bullet"/>
      <w:lvlText w:val=""/>
      <w:lvlJc w:val="left"/>
      <w:pPr>
        <w:ind w:left="6480" w:hanging="360"/>
      </w:pPr>
      <w:rPr>
        <w:rFonts w:ascii="Wingdings" w:hAnsi="Wingdings" w:hint="default"/>
      </w:rPr>
    </w:lvl>
  </w:abstractNum>
  <w:abstractNum w:abstractNumId="5" w15:restartNumberingAfterBreak="0">
    <w:nsid w:val="3CF8BE26"/>
    <w:multiLevelType w:val="hybridMultilevel"/>
    <w:tmpl w:val="60308F10"/>
    <w:lvl w:ilvl="0" w:tplc="03A29D8C">
      <w:start w:val="1"/>
      <w:numFmt w:val="bullet"/>
      <w:lvlText w:val=""/>
      <w:lvlJc w:val="left"/>
      <w:pPr>
        <w:ind w:left="720" w:hanging="360"/>
      </w:pPr>
      <w:rPr>
        <w:rFonts w:ascii="Symbol" w:hAnsi="Symbol" w:hint="default"/>
      </w:rPr>
    </w:lvl>
    <w:lvl w:ilvl="1" w:tplc="7590A1B4">
      <w:start w:val="1"/>
      <w:numFmt w:val="bullet"/>
      <w:lvlText w:val="o"/>
      <w:lvlJc w:val="left"/>
      <w:pPr>
        <w:ind w:left="1440" w:hanging="360"/>
      </w:pPr>
      <w:rPr>
        <w:rFonts w:ascii="Courier New" w:hAnsi="Courier New" w:hint="default"/>
      </w:rPr>
    </w:lvl>
    <w:lvl w:ilvl="2" w:tplc="DDD60E3C">
      <w:start w:val="1"/>
      <w:numFmt w:val="bullet"/>
      <w:lvlText w:val=""/>
      <w:lvlJc w:val="left"/>
      <w:pPr>
        <w:ind w:left="2160" w:hanging="360"/>
      </w:pPr>
      <w:rPr>
        <w:rFonts w:ascii="Wingdings" w:hAnsi="Wingdings" w:hint="default"/>
      </w:rPr>
    </w:lvl>
    <w:lvl w:ilvl="3" w:tplc="85CAF5FC">
      <w:start w:val="1"/>
      <w:numFmt w:val="bullet"/>
      <w:lvlText w:val=""/>
      <w:lvlJc w:val="left"/>
      <w:pPr>
        <w:ind w:left="2880" w:hanging="360"/>
      </w:pPr>
      <w:rPr>
        <w:rFonts w:ascii="Symbol" w:hAnsi="Symbol" w:hint="default"/>
      </w:rPr>
    </w:lvl>
    <w:lvl w:ilvl="4" w:tplc="56A43BF2">
      <w:start w:val="1"/>
      <w:numFmt w:val="bullet"/>
      <w:lvlText w:val="o"/>
      <w:lvlJc w:val="left"/>
      <w:pPr>
        <w:ind w:left="3600" w:hanging="360"/>
      </w:pPr>
      <w:rPr>
        <w:rFonts w:ascii="Courier New" w:hAnsi="Courier New" w:hint="default"/>
      </w:rPr>
    </w:lvl>
    <w:lvl w:ilvl="5" w:tplc="1678772A">
      <w:start w:val="1"/>
      <w:numFmt w:val="bullet"/>
      <w:lvlText w:val=""/>
      <w:lvlJc w:val="left"/>
      <w:pPr>
        <w:ind w:left="4320" w:hanging="360"/>
      </w:pPr>
      <w:rPr>
        <w:rFonts w:ascii="Wingdings" w:hAnsi="Wingdings" w:hint="default"/>
      </w:rPr>
    </w:lvl>
    <w:lvl w:ilvl="6" w:tplc="0C184A94">
      <w:start w:val="1"/>
      <w:numFmt w:val="bullet"/>
      <w:lvlText w:val=""/>
      <w:lvlJc w:val="left"/>
      <w:pPr>
        <w:ind w:left="5040" w:hanging="360"/>
      </w:pPr>
      <w:rPr>
        <w:rFonts w:ascii="Symbol" w:hAnsi="Symbol" w:hint="default"/>
      </w:rPr>
    </w:lvl>
    <w:lvl w:ilvl="7" w:tplc="93BE8498">
      <w:start w:val="1"/>
      <w:numFmt w:val="bullet"/>
      <w:lvlText w:val="o"/>
      <w:lvlJc w:val="left"/>
      <w:pPr>
        <w:ind w:left="5760" w:hanging="360"/>
      </w:pPr>
      <w:rPr>
        <w:rFonts w:ascii="Courier New" w:hAnsi="Courier New" w:hint="default"/>
      </w:rPr>
    </w:lvl>
    <w:lvl w:ilvl="8" w:tplc="2D461B24">
      <w:start w:val="1"/>
      <w:numFmt w:val="bullet"/>
      <w:lvlText w:val=""/>
      <w:lvlJc w:val="left"/>
      <w:pPr>
        <w:ind w:left="6480" w:hanging="360"/>
      </w:pPr>
      <w:rPr>
        <w:rFonts w:ascii="Wingdings" w:hAnsi="Wingdings" w:hint="default"/>
      </w:rPr>
    </w:lvl>
  </w:abstractNum>
  <w:abstractNum w:abstractNumId="6" w15:restartNumberingAfterBreak="0">
    <w:nsid w:val="41E36E1D"/>
    <w:multiLevelType w:val="hybridMultilevel"/>
    <w:tmpl w:val="4302347E"/>
    <w:lvl w:ilvl="0" w:tplc="2390B1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C25B72"/>
    <w:multiLevelType w:val="hybridMultilevel"/>
    <w:tmpl w:val="EA0C94B8"/>
    <w:lvl w:ilvl="0" w:tplc="D59695F6">
      <w:start w:val="1"/>
      <w:numFmt w:val="bullet"/>
      <w:lvlText w:val=""/>
      <w:lvlJc w:val="left"/>
      <w:pPr>
        <w:ind w:left="720" w:hanging="360"/>
      </w:pPr>
      <w:rPr>
        <w:rFonts w:ascii="Symbol" w:hAnsi="Symbol" w:hint="default"/>
      </w:rPr>
    </w:lvl>
    <w:lvl w:ilvl="1" w:tplc="8760D0CA">
      <w:start w:val="1"/>
      <w:numFmt w:val="bullet"/>
      <w:lvlText w:val="o"/>
      <w:lvlJc w:val="left"/>
      <w:pPr>
        <w:ind w:left="1440" w:hanging="360"/>
      </w:pPr>
      <w:rPr>
        <w:rFonts w:ascii="Courier New" w:hAnsi="Courier New" w:hint="default"/>
      </w:rPr>
    </w:lvl>
    <w:lvl w:ilvl="2" w:tplc="4C1C4F10">
      <w:start w:val="1"/>
      <w:numFmt w:val="bullet"/>
      <w:lvlText w:val=""/>
      <w:lvlJc w:val="left"/>
      <w:pPr>
        <w:ind w:left="2160" w:hanging="360"/>
      </w:pPr>
      <w:rPr>
        <w:rFonts w:ascii="Wingdings" w:hAnsi="Wingdings" w:hint="default"/>
      </w:rPr>
    </w:lvl>
    <w:lvl w:ilvl="3" w:tplc="883AAEB4">
      <w:start w:val="1"/>
      <w:numFmt w:val="bullet"/>
      <w:lvlText w:val=""/>
      <w:lvlJc w:val="left"/>
      <w:pPr>
        <w:ind w:left="2880" w:hanging="360"/>
      </w:pPr>
      <w:rPr>
        <w:rFonts w:ascii="Symbol" w:hAnsi="Symbol" w:hint="default"/>
      </w:rPr>
    </w:lvl>
    <w:lvl w:ilvl="4" w:tplc="DD5467CE">
      <w:start w:val="1"/>
      <w:numFmt w:val="bullet"/>
      <w:lvlText w:val="o"/>
      <w:lvlJc w:val="left"/>
      <w:pPr>
        <w:ind w:left="3600" w:hanging="360"/>
      </w:pPr>
      <w:rPr>
        <w:rFonts w:ascii="Courier New" w:hAnsi="Courier New" w:hint="default"/>
      </w:rPr>
    </w:lvl>
    <w:lvl w:ilvl="5" w:tplc="A4221860">
      <w:start w:val="1"/>
      <w:numFmt w:val="bullet"/>
      <w:lvlText w:val=""/>
      <w:lvlJc w:val="left"/>
      <w:pPr>
        <w:ind w:left="4320" w:hanging="360"/>
      </w:pPr>
      <w:rPr>
        <w:rFonts w:ascii="Wingdings" w:hAnsi="Wingdings" w:hint="default"/>
      </w:rPr>
    </w:lvl>
    <w:lvl w:ilvl="6" w:tplc="6CDCCD0C">
      <w:start w:val="1"/>
      <w:numFmt w:val="bullet"/>
      <w:lvlText w:val=""/>
      <w:lvlJc w:val="left"/>
      <w:pPr>
        <w:ind w:left="5040" w:hanging="360"/>
      </w:pPr>
      <w:rPr>
        <w:rFonts w:ascii="Symbol" w:hAnsi="Symbol" w:hint="default"/>
      </w:rPr>
    </w:lvl>
    <w:lvl w:ilvl="7" w:tplc="F2F8D4F4">
      <w:start w:val="1"/>
      <w:numFmt w:val="bullet"/>
      <w:lvlText w:val="o"/>
      <w:lvlJc w:val="left"/>
      <w:pPr>
        <w:ind w:left="5760" w:hanging="360"/>
      </w:pPr>
      <w:rPr>
        <w:rFonts w:ascii="Courier New" w:hAnsi="Courier New" w:hint="default"/>
      </w:rPr>
    </w:lvl>
    <w:lvl w:ilvl="8" w:tplc="12F0C784">
      <w:start w:val="1"/>
      <w:numFmt w:val="bullet"/>
      <w:lvlText w:val=""/>
      <w:lvlJc w:val="left"/>
      <w:pPr>
        <w:ind w:left="6480" w:hanging="360"/>
      </w:pPr>
      <w:rPr>
        <w:rFonts w:ascii="Wingdings" w:hAnsi="Wingdings" w:hint="default"/>
      </w:rPr>
    </w:lvl>
  </w:abstractNum>
  <w:abstractNum w:abstractNumId="8" w15:restartNumberingAfterBreak="0">
    <w:nsid w:val="6A0ABFDC"/>
    <w:multiLevelType w:val="hybridMultilevel"/>
    <w:tmpl w:val="4D60ABAC"/>
    <w:lvl w:ilvl="0" w:tplc="7888777C">
      <w:start w:val="1"/>
      <w:numFmt w:val="bullet"/>
      <w:lvlText w:val=""/>
      <w:lvlJc w:val="left"/>
      <w:pPr>
        <w:ind w:left="720" w:hanging="360"/>
      </w:pPr>
      <w:rPr>
        <w:rFonts w:ascii="Symbol" w:hAnsi="Symbol" w:hint="default"/>
      </w:rPr>
    </w:lvl>
    <w:lvl w:ilvl="1" w:tplc="3C0872D4">
      <w:start w:val="1"/>
      <w:numFmt w:val="bullet"/>
      <w:lvlText w:val="o"/>
      <w:lvlJc w:val="left"/>
      <w:pPr>
        <w:ind w:left="1440" w:hanging="360"/>
      </w:pPr>
      <w:rPr>
        <w:rFonts w:ascii="Courier New" w:hAnsi="Courier New" w:hint="default"/>
      </w:rPr>
    </w:lvl>
    <w:lvl w:ilvl="2" w:tplc="978C7976">
      <w:start w:val="1"/>
      <w:numFmt w:val="bullet"/>
      <w:lvlText w:val=""/>
      <w:lvlJc w:val="left"/>
      <w:pPr>
        <w:ind w:left="2160" w:hanging="360"/>
      </w:pPr>
      <w:rPr>
        <w:rFonts w:ascii="Wingdings" w:hAnsi="Wingdings" w:hint="default"/>
      </w:rPr>
    </w:lvl>
    <w:lvl w:ilvl="3" w:tplc="37EEFDFC">
      <w:start w:val="1"/>
      <w:numFmt w:val="bullet"/>
      <w:lvlText w:val=""/>
      <w:lvlJc w:val="left"/>
      <w:pPr>
        <w:ind w:left="2880" w:hanging="360"/>
      </w:pPr>
      <w:rPr>
        <w:rFonts w:ascii="Symbol" w:hAnsi="Symbol" w:hint="default"/>
      </w:rPr>
    </w:lvl>
    <w:lvl w:ilvl="4" w:tplc="4F6AFFD4">
      <w:start w:val="1"/>
      <w:numFmt w:val="bullet"/>
      <w:lvlText w:val="o"/>
      <w:lvlJc w:val="left"/>
      <w:pPr>
        <w:ind w:left="3600" w:hanging="360"/>
      </w:pPr>
      <w:rPr>
        <w:rFonts w:ascii="Courier New" w:hAnsi="Courier New" w:hint="default"/>
      </w:rPr>
    </w:lvl>
    <w:lvl w:ilvl="5" w:tplc="EB50F7B2">
      <w:start w:val="1"/>
      <w:numFmt w:val="bullet"/>
      <w:lvlText w:val=""/>
      <w:lvlJc w:val="left"/>
      <w:pPr>
        <w:ind w:left="4320" w:hanging="360"/>
      </w:pPr>
      <w:rPr>
        <w:rFonts w:ascii="Wingdings" w:hAnsi="Wingdings" w:hint="default"/>
      </w:rPr>
    </w:lvl>
    <w:lvl w:ilvl="6" w:tplc="08C26410">
      <w:start w:val="1"/>
      <w:numFmt w:val="bullet"/>
      <w:lvlText w:val=""/>
      <w:lvlJc w:val="left"/>
      <w:pPr>
        <w:ind w:left="5040" w:hanging="360"/>
      </w:pPr>
      <w:rPr>
        <w:rFonts w:ascii="Symbol" w:hAnsi="Symbol" w:hint="default"/>
      </w:rPr>
    </w:lvl>
    <w:lvl w:ilvl="7" w:tplc="38B87A62">
      <w:start w:val="1"/>
      <w:numFmt w:val="bullet"/>
      <w:lvlText w:val="o"/>
      <w:lvlJc w:val="left"/>
      <w:pPr>
        <w:ind w:left="5760" w:hanging="360"/>
      </w:pPr>
      <w:rPr>
        <w:rFonts w:ascii="Courier New" w:hAnsi="Courier New" w:hint="default"/>
      </w:rPr>
    </w:lvl>
    <w:lvl w:ilvl="8" w:tplc="91E2F248">
      <w:start w:val="1"/>
      <w:numFmt w:val="bullet"/>
      <w:lvlText w:val=""/>
      <w:lvlJc w:val="left"/>
      <w:pPr>
        <w:ind w:left="6480" w:hanging="360"/>
      </w:pPr>
      <w:rPr>
        <w:rFonts w:ascii="Wingdings" w:hAnsi="Wingdings" w:hint="default"/>
      </w:rPr>
    </w:lvl>
  </w:abstractNum>
  <w:num w:numId="1" w16cid:durableId="2061519237">
    <w:abstractNumId w:val="4"/>
  </w:num>
  <w:num w:numId="2" w16cid:durableId="1135951421">
    <w:abstractNumId w:val="2"/>
  </w:num>
  <w:num w:numId="3" w16cid:durableId="961571364">
    <w:abstractNumId w:val="8"/>
  </w:num>
  <w:num w:numId="4" w16cid:durableId="259871055">
    <w:abstractNumId w:val="7"/>
  </w:num>
  <w:num w:numId="5" w16cid:durableId="636765438">
    <w:abstractNumId w:val="5"/>
  </w:num>
  <w:num w:numId="6" w16cid:durableId="83501311">
    <w:abstractNumId w:val="1"/>
  </w:num>
  <w:num w:numId="7" w16cid:durableId="286159089">
    <w:abstractNumId w:val="6"/>
  </w:num>
  <w:num w:numId="8" w16cid:durableId="476151583">
    <w:abstractNumId w:val="3"/>
  </w:num>
  <w:num w:numId="9" w16cid:durableId="1959027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FB2"/>
    <w:rsid w:val="00006767"/>
    <w:rsid w:val="0001776C"/>
    <w:rsid w:val="00020AD2"/>
    <w:rsid w:val="00021117"/>
    <w:rsid w:val="0002569A"/>
    <w:rsid w:val="00031306"/>
    <w:rsid w:val="0003572F"/>
    <w:rsid w:val="0008163B"/>
    <w:rsid w:val="000A4E11"/>
    <w:rsid w:val="000B745C"/>
    <w:rsid w:val="000C07BD"/>
    <w:rsid w:val="000D0D08"/>
    <w:rsid w:val="00141432"/>
    <w:rsid w:val="00153454"/>
    <w:rsid w:val="00161A14"/>
    <w:rsid w:val="00166481"/>
    <w:rsid w:val="001725DC"/>
    <w:rsid w:val="00176008"/>
    <w:rsid w:val="001B5F6D"/>
    <w:rsid w:val="001D2326"/>
    <w:rsid w:val="002203E5"/>
    <w:rsid w:val="00227718"/>
    <w:rsid w:val="00234DF8"/>
    <w:rsid w:val="00237196"/>
    <w:rsid w:val="0025057C"/>
    <w:rsid w:val="00285790"/>
    <w:rsid w:val="002B412A"/>
    <w:rsid w:val="002C7061"/>
    <w:rsid w:val="002D520D"/>
    <w:rsid w:val="002D5D02"/>
    <w:rsid w:val="002E1F3C"/>
    <w:rsid w:val="002E4984"/>
    <w:rsid w:val="00305554"/>
    <w:rsid w:val="0030671F"/>
    <w:rsid w:val="003134A7"/>
    <w:rsid w:val="0036284F"/>
    <w:rsid w:val="00391B6A"/>
    <w:rsid w:val="00392259"/>
    <w:rsid w:val="00394EB0"/>
    <w:rsid w:val="0039633B"/>
    <w:rsid w:val="003A65AA"/>
    <w:rsid w:val="003D59F6"/>
    <w:rsid w:val="003E3F2E"/>
    <w:rsid w:val="003F5691"/>
    <w:rsid w:val="00411BC0"/>
    <w:rsid w:val="00421E7F"/>
    <w:rsid w:val="00425772"/>
    <w:rsid w:val="004320FC"/>
    <w:rsid w:val="00454DAC"/>
    <w:rsid w:val="00463910"/>
    <w:rsid w:val="0046541F"/>
    <w:rsid w:val="00474576"/>
    <w:rsid w:val="00480E7A"/>
    <w:rsid w:val="004817E0"/>
    <w:rsid w:val="004936D8"/>
    <w:rsid w:val="004E5C00"/>
    <w:rsid w:val="00515782"/>
    <w:rsid w:val="00526F62"/>
    <w:rsid w:val="00560360"/>
    <w:rsid w:val="00594835"/>
    <w:rsid w:val="005B18C4"/>
    <w:rsid w:val="005B44E1"/>
    <w:rsid w:val="005E03A0"/>
    <w:rsid w:val="005E05D3"/>
    <w:rsid w:val="005E1B1D"/>
    <w:rsid w:val="005F4C6E"/>
    <w:rsid w:val="00610617"/>
    <w:rsid w:val="0064192E"/>
    <w:rsid w:val="006A02A2"/>
    <w:rsid w:val="006A5580"/>
    <w:rsid w:val="006B3424"/>
    <w:rsid w:val="006C54C2"/>
    <w:rsid w:val="0070547E"/>
    <w:rsid w:val="00736F9F"/>
    <w:rsid w:val="00761774"/>
    <w:rsid w:val="007913D3"/>
    <w:rsid w:val="007979FC"/>
    <w:rsid w:val="007B10F4"/>
    <w:rsid w:val="007C4D3C"/>
    <w:rsid w:val="00824EF4"/>
    <w:rsid w:val="00843302"/>
    <w:rsid w:val="008671DF"/>
    <w:rsid w:val="008C0A5D"/>
    <w:rsid w:val="008D5297"/>
    <w:rsid w:val="00905088"/>
    <w:rsid w:val="009078B8"/>
    <w:rsid w:val="00915D84"/>
    <w:rsid w:val="00920D0C"/>
    <w:rsid w:val="00934332"/>
    <w:rsid w:val="00935F86"/>
    <w:rsid w:val="00937458"/>
    <w:rsid w:val="0095225C"/>
    <w:rsid w:val="00956B06"/>
    <w:rsid w:val="00967315"/>
    <w:rsid w:val="009919C2"/>
    <w:rsid w:val="009960C6"/>
    <w:rsid w:val="009B6CBA"/>
    <w:rsid w:val="00A107E9"/>
    <w:rsid w:val="00A173C8"/>
    <w:rsid w:val="00A24068"/>
    <w:rsid w:val="00A53805"/>
    <w:rsid w:val="00A738A2"/>
    <w:rsid w:val="00AA296E"/>
    <w:rsid w:val="00AA3C0C"/>
    <w:rsid w:val="00AB30D9"/>
    <w:rsid w:val="00AB5757"/>
    <w:rsid w:val="00AF228E"/>
    <w:rsid w:val="00B11427"/>
    <w:rsid w:val="00B23854"/>
    <w:rsid w:val="00B2756C"/>
    <w:rsid w:val="00B27FB8"/>
    <w:rsid w:val="00B5CA5A"/>
    <w:rsid w:val="00B635A6"/>
    <w:rsid w:val="00B64AD5"/>
    <w:rsid w:val="00B83399"/>
    <w:rsid w:val="00B87655"/>
    <w:rsid w:val="00BA3FB2"/>
    <w:rsid w:val="00BB5786"/>
    <w:rsid w:val="00BE2769"/>
    <w:rsid w:val="00C40580"/>
    <w:rsid w:val="00C56029"/>
    <w:rsid w:val="00C6267D"/>
    <w:rsid w:val="00C919BB"/>
    <w:rsid w:val="00CA7355"/>
    <w:rsid w:val="00CB638F"/>
    <w:rsid w:val="00CD3BE9"/>
    <w:rsid w:val="00CD4E49"/>
    <w:rsid w:val="00D70053"/>
    <w:rsid w:val="00D93C9D"/>
    <w:rsid w:val="00DA5B6F"/>
    <w:rsid w:val="00DB768E"/>
    <w:rsid w:val="00DD7F67"/>
    <w:rsid w:val="00DE5786"/>
    <w:rsid w:val="00DF09E6"/>
    <w:rsid w:val="00E16910"/>
    <w:rsid w:val="00E21E47"/>
    <w:rsid w:val="00E35962"/>
    <w:rsid w:val="00E45571"/>
    <w:rsid w:val="00E45A4F"/>
    <w:rsid w:val="00E532B0"/>
    <w:rsid w:val="00E63482"/>
    <w:rsid w:val="00E7350E"/>
    <w:rsid w:val="00E92A13"/>
    <w:rsid w:val="00EF65BF"/>
    <w:rsid w:val="00F17907"/>
    <w:rsid w:val="00F3080A"/>
    <w:rsid w:val="00F451B0"/>
    <w:rsid w:val="00F7716D"/>
    <w:rsid w:val="00F95CE1"/>
    <w:rsid w:val="00FF1430"/>
    <w:rsid w:val="0165C54E"/>
    <w:rsid w:val="09CDC78F"/>
    <w:rsid w:val="10ACBC46"/>
    <w:rsid w:val="14CBE5B7"/>
    <w:rsid w:val="16F01296"/>
    <w:rsid w:val="17431D2E"/>
    <w:rsid w:val="19CAC2FC"/>
    <w:rsid w:val="1AB69869"/>
    <w:rsid w:val="212DC773"/>
    <w:rsid w:val="21E05138"/>
    <w:rsid w:val="28E46A95"/>
    <w:rsid w:val="2C707A1A"/>
    <w:rsid w:val="2D074CB1"/>
    <w:rsid w:val="315D6E24"/>
    <w:rsid w:val="342500F7"/>
    <w:rsid w:val="35157473"/>
    <w:rsid w:val="369ABD94"/>
    <w:rsid w:val="36E266F2"/>
    <w:rsid w:val="36F0A00C"/>
    <w:rsid w:val="37F6F4C0"/>
    <w:rsid w:val="393DC24B"/>
    <w:rsid w:val="424DD1FA"/>
    <w:rsid w:val="4DBB2443"/>
    <w:rsid w:val="4E03744C"/>
    <w:rsid w:val="4E816172"/>
    <w:rsid w:val="53839DA9"/>
    <w:rsid w:val="57BCFEA7"/>
    <w:rsid w:val="5DE851A3"/>
    <w:rsid w:val="5F181598"/>
    <w:rsid w:val="63EB86BB"/>
    <w:rsid w:val="64D75C28"/>
    <w:rsid w:val="68A5CF81"/>
    <w:rsid w:val="6EAABCB7"/>
    <w:rsid w:val="77FA77AC"/>
    <w:rsid w:val="78C3E0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D2E81"/>
  <w15:chartTrackingRefBased/>
  <w15:docId w15:val="{1040089D-F74F-476E-A610-4E6DD0F41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A3FB2"/>
    <w:rPr>
      <w:sz w:val="16"/>
      <w:szCs w:val="16"/>
    </w:rPr>
  </w:style>
  <w:style w:type="paragraph" w:styleId="CommentText">
    <w:name w:val="annotation text"/>
    <w:basedOn w:val="Normal"/>
    <w:link w:val="CommentTextChar"/>
    <w:uiPriority w:val="99"/>
    <w:unhideWhenUsed/>
    <w:rsid w:val="00BA3FB2"/>
    <w:pPr>
      <w:spacing w:line="240" w:lineRule="auto"/>
    </w:pPr>
    <w:rPr>
      <w:sz w:val="20"/>
      <w:szCs w:val="20"/>
    </w:rPr>
  </w:style>
  <w:style w:type="character" w:customStyle="1" w:styleId="CommentTextChar">
    <w:name w:val="Comment Text Char"/>
    <w:basedOn w:val="DefaultParagraphFont"/>
    <w:link w:val="CommentText"/>
    <w:uiPriority w:val="99"/>
    <w:rsid w:val="00BA3FB2"/>
    <w:rPr>
      <w:sz w:val="20"/>
      <w:szCs w:val="20"/>
    </w:rPr>
  </w:style>
  <w:style w:type="table" w:styleId="PlainTable5">
    <w:name w:val="Plain Table 5"/>
    <w:basedOn w:val="TableNormal"/>
    <w:uiPriority w:val="45"/>
    <w:rsid w:val="00BA3FB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
    <w:name w:val="Table Grid"/>
    <w:basedOn w:val="TableNormal"/>
    <w:uiPriority w:val="39"/>
    <w:rsid w:val="00BA3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71DF"/>
    <w:pPr>
      <w:ind w:left="720"/>
      <w:contextualSpacing/>
    </w:pPr>
  </w:style>
  <w:style w:type="paragraph" w:styleId="CommentSubject">
    <w:name w:val="annotation subject"/>
    <w:basedOn w:val="CommentText"/>
    <w:next w:val="CommentText"/>
    <w:link w:val="CommentSubjectChar"/>
    <w:uiPriority w:val="99"/>
    <w:semiHidden/>
    <w:unhideWhenUsed/>
    <w:rsid w:val="00DB768E"/>
    <w:rPr>
      <w:b/>
      <w:bCs/>
    </w:rPr>
  </w:style>
  <w:style w:type="character" w:customStyle="1" w:styleId="CommentSubjectChar">
    <w:name w:val="Comment Subject Char"/>
    <w:basedOn w:val="CommentTextChar"/>
    <w:link w:val="CommentSubject"/>
    <w:uiPriority w:val="99"/>
    <w:semiHidden/>
    <w:rsid w:val="00DB76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https://ucsfonline-my.sharepoint.com/personal/adrian_tomes_ucsf_edu/Documents/Attachments/Express%20Visits_0119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ucsfonline-my.sharepoint.com/personal/adrian_tomes_ucsf_edu/Documents/Attachments/Express%20Visits_01192024.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[Express Visits_01192024.xlsx]Equity Distribution!PivotTable9</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Express Care Race/Ethnnicity</a:t>
            </a:r>
            <a:r>
              <a:rPr lang="en-US" baseline="0"/>
              <a:t> Utilization Distribution</a:t>
            </a:r>
            <a:endParaRPr lang="en-US"/>
          </a:p>
        </c:rich>
      </c:tx>
      <c:layout>
        <c:manualLayout>
          <c:xMode val="edge"/>
          <c:yMode val="edge"/>
          <c:x val="0.19797462629644505"/>
          <c:y val="3.666361136571952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'Equity Distribution'!$B$1</c:f>
              <c:strCache>
                <c:ptCount val="1"/>
                <c:pt idx="0">
                  <c:v>Total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'Equity Distribution'!$A$2:$A$13</c:f>
              <c:strCache>
                <c:ptCount val="11"/>
                <c:pt idx="0">
                  <c:v>White</c:v>
                </c:pt>
                <c:pt idx="1">
                  <c:v>Asian</c:v>
                </c:pt>
                <c:pt idx="2">
                  <c:v>Latinx</c:v>
                </c:pt>
                <c:pt idx="3">
                  <c:v>Multi-Race/Ethnicity</c:v>
                </c:pt>
                <c:pt idx="4">
                  <c:v>Black or African American</c:v>
                </c:pt>
                <c:pt idx="5">
                  <c:v>Other</c:v>
                </c:pt>
                <c:pt idx="6">
                  <c:v>Unknown/Declined</c:v>
                </c:pt>
                <c:pt idx="7">
                  <c:v>Southwest Asian and North African</c:v>
                </c:pt>
                <c:pt idx="8">
                  <c:v>Native American or Alaska Native</c:v>
                </c:pt>
                <c:pt idx="9">
                  <c:v>Native Hawaiian or Other Pacific Islander</c:v>
                </c:pt>
                <c:pt idx="10">
                  <c:v>(blank)</c:v>
                </c:pt>
              </c:strCache>
            </c:strRef>
          </c:cat>
          <c:val>
            <c:numRef>
              <c:f>'Equity Distribution'!$B$2:$B$13</c:f>
              <c:numCache>
                <c:formatCode>0.00%</c:formatCode>
                <c:ptCount val="11"/>
                <c:pt idx="0">
                  <c:v>0.50377358490566038</c:v>
                </c:pt>
                <c:pt idx="1">
                  <c:v>0.27924528301886792</c:v>
                </c:pt>
                <c:pt idx="2">
                  <c:v>9.4339622641509441E-2</c:v>
                </c:pt>
                <c:pt idx="3">
                  <c:v>3.3962264150943396E-2</c:v>
                </c:pt>
                <c:pt idx="4">
                  <c:v>3.0188679245283019E-2</c:v>
                </c:pt>
                <c:pt idx="5">
                  <c:v>2.0754716981132074E-2</c:v>
                </c:pt>
                <c:pt idx="6">
                  <c:v>1.8867924528301886E-2</c:v>
                </c:pt>
                <c:pt idx="7">
                  <c:v>1.509433962264151E-2</c:v>
                </c:pt>
                <c:pt idx="8">
                  <c:v>1.8867924528301887E-3</c:v>
                </c:pt>
                <c:pt idx="9">
                  <c:v>1.8867924528301887E-3</c:v>
                </c:pt>
                <c:pt idx="10">
                  <c:v>0</c:v>
                </c:pt>
              </c:numCache>
            </c:numRef>
          </c:val>
          <c:extLst>
            <c:ext xmlns:c16="http://schemas.microsoft.com/office/drawing/2014/chart" uri="{C3380CC4-5D6E-409C-BE32-E72D297353CC}">
              <c16:uniqueId val="{00000000-1FD7-449C-A755-064FF11F3EF6}"/>
            </c:ext>
          </c:extLst>
        </c:ser>
        <c:dLbls>
          <c:dLblPos val="outEnd"/>
          <c:showLegendKey val="0"/>
          <c:showVal val="1"/>
          <c:showCatName val="0"/>
          <c:showSerName val="0"/>
          <c:showPercent val="0"/>
          <c:showBubbleSize val="0"/>
        </c:dLbls>
        <c:gapWidth val="219"/>
        <c:overlap val="-27"/>
        <c:axId val="452241248"/>
        <c:axId val="315835568"/>
      </c:barChart>
      <c:catAx>
        <c:axId val="452241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5835568"/>
        <c:crosses val="autoZero"/>
        <c:auto val="1"/>
        <c:lblAlgn val="ctr"/>
        <c:lblOffset val="100"/>
        <c:noMultiLvlLbl val="0"/>
      </c:catAx>
      <c:valAx>
        <c:axId val="3158355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22412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[Express Visits_01192024.xlsx]Sheet1!PivotTable1</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Express Care</a:t>
            </a:r>
            <a:r>
              <a:rPr lang="en-US" baseline="0"/>
              <a:t> </a:t>
            </a:r>
            <a:r>
              <a:rPr lang="en-US"/>
              <a:t>Language</a:t>
            </a:r>
            <a:r>
              <a:rPr lang="en-US" baseline="0"/>
              <a:t> Distribution</a:t>
            </a:r>
            <a:endParaRPr lang="en-US"/>
          </a:p>
        </c:rich>
      </c:tx>
      <c:layout>
        <c:manualLayout>
          <c:xMode val="edge"/>
          <c:yMode val="edge"/>
          <c:x val="0.27737364560199207"/>
          <c:y val="5.56194250983304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Sheet1!$B$1</c:f>
              <c:strCache>
                <c:ptCount val="1"/>
                <c:pt idx="0">
                  <c:v>Total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8"/>
                <c:pt idx="0">
                  <c:v>English</c:v>
                </c:pt>
                <c:pt idx="1">
                  <c:v>Chinese - Cantonese</c:v>
                </c:pt>
                <c:pt idx="2">
                  <c:v>Chinese - Mandarin</c:v>
                </c:pt>
                <c:pt idx="3">
                  <c:v>Chinese - Toishanese</c:v>
                </c:pt>
                <c:pt idx="4">
                  <c:v>Japanese</c:v>
                </c:pt>
                <c:pt idx="5">
                  <c:v>Russian</c:v>
                </c:pt>
                <c:pt idx="6">
                  <c:v>Vietnamese</c:v>
                </c:pt>
                <c:pt idx="7">
                  <c:v>(blank)</c:v>
                </c:pt>
              </c:strCache>
            </c:strRef>
          </c:cat>
          <c:val>
            <c:numRef>
              <c:f>Sheet1!$B$2:$B$10</c:f>
              <c:numCache>
                <c:formatCode>0.00%</c:formatCode>
                <c:ptCount val="8"/>
                <c:pt idx="0">
                  <c:v>0.97547169811320755</c:v>
                </c:pt>
                <c:pt idx="1">
                  <c:v>7.5471698113207548E-3</c:v>
                </c:pt>
                <c:pt idx="2">
                  <c:v>7.5471698113207548E-3</c:v>
                </c:pt>
                <c:pt idx="3">
                  <c:v>3.7735849056603774E-3</c:v>
                </c:pt>
                <c:pt idx="4">
                  <c:v>1.8867924528301887E-3</c:v>
                </c:pt>
                <c:pt idx="5">
                  <c:v>1.8867924528301887E-3</c:v>
                </c:pt>
                <c:pt idx="6">
                  <c:v>1.8867924528301887E-3</c:v>
                </c:pt>
                <c:pt idx="7">
                  <c:v>0</c:v>
                </c:pt>
              </c:numCache>
            </c:numRef>
          </c:val>
          <c:extLst>
            <c:ext xmlns:c16="http://schemas.microsoft.com/office/drawing/2014/chart" uri="{C3380CC4-5D6E-409C-BE32-E72D297353CC}">
              <c16:uniqueId val="{00000000-BBFD-4A8E-9D30-2A6DFB7824EF}"/>
            </c:ext>
          </c:extLst>
        </c:ser>
        <c:dLbls>
          <c:dLblPos val="outEnd"/>
          <c:showLegendKey val="0"/>
          <c:showVal val="1"/>
          <c:showCatName val="0"/>
          <c:showSerName val="0"/>
          <c:showPercent val="0"/>
          <c:showBubbleSize val="0"/>
        </c:dLbls>
        <c:gapWidth val="219"/>
        <c:overlap val="-27"/>
        <c:axId val="2006024319"/>
        <c:axId val="1919516863"/>
      </c:barChart>
      <c:catAx>
        <c:axId val="20060243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9516863"/>
        <c:crosses val="autoZero"/>
        <c:auto val="1"/>
        <c:lblAlgn val="ctr"/>
        <c:lblOffset val="100"/>
        <c:noMultiLvlLbl val="0"/>
      </c:catAx>
      <c:valAx>
        <c:axId val="191951686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602431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7</Pages>
  <Words>2678</Words>
  <Characters>15265</Characters>
  <Application>Microsoft Office Word</Application>
  <DocSecurity>0</DocSecurity>
  <Lines>127</Lines>
  <Paragraphs>35</Paragraphs>
  <ScaleCrop>false</ScaleCrop>
  <Company>UCSF</Company>
  <LinksUpToDate>false</LinksUpToDate>
  <CharactersWithSpaces>17908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Soares, Nina</dc:creator>
  <cp:keywords/>
  <dc:description/>
  <cp:lastModifiedBy>Soares, Nina</cp:lastModifiedBy>
  <cp:revision>135</cp:revision>
  <dcterms:created xsi:type="dcterms:W3CDTF">2024-03-01T00:15:00Z</dcterms:created>
  <dcterms:modified xsi:type="dcterms:W3CDTF">2024-03-01T19:33:00Z</dcterms:modified>
</cp:coreProperties>
</file>